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3AFE" w14:textId="7F6D3506" w:rsidR="002C6D67" w:rsidRDefault="002C6D67" w:rsidP="002C6D67">
      <w:pPr>
        <w:spacing w:after="160" w:line="259"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Contrato 45/2023 - </w:t>
      </w:r>
      <w:r>
        <w:rPr>
          <w:rFonts w:asciiTheme="minorHAnsi" w:hAnsiTheme="minorHAnsi" w:cstheme="minorHAnsi"/>
          <w:b/>
          <w:sz w:val="24"/>
          <w:szCs w:val="24"/>
        </w:rPr>
        <w:t>Aquisição de equipamentos para transporte do sinal da programação da TV Câmara Piracicaba para transmissão junto à estação do Capim Fino.</w:t>
      </w:r>
    </w:p>
    <w:p w14:paraId="733505ED" w14:textId="77777777" w:rsidR="002C6D67" w:rsidRDefault="002C6D67" w:rsidP="002C6D67">
      <w:pPr>
        <w:spacing w:line="259" w:lineRule="auto"/>
        <w:jc w:val="center"/>
        <w:rPr>
          <w:rFonts w:asciiTheme="minorHAnsi" w:hAnsiTheme="minorHAnsi" w:cstheme="minorHAnsi"/>
          <w:b/>
          <w:bCs/>
          <w:sz w:val="24"/>
          <w:szCs w:val="24"/>
        </w:rPr>
      </w:pPr>
      <w:r>
        <w:rPr>
          <w:rFonts w:asciiTheme="minorHAnsi" w:hAnsiTheme="minorHAnsi" w:cstheme="minorHAnsi"/>
          <w:b/>
          <w:bCs/>
          <w:sz w:val="24"/>
          <w:szCs w:val="24"/>
        </w:rPr>
        <w:t>Pregão Eletrônico 17/2023</w:t>
      </w:r>
    </w:p>
    <w:p w14:paraId="54314544" w14:textId="77777777" w:rsidR="002C6D67" w:rsidRDefault="002C6D67" w:rsidP="002C6D67">
      <w:pPr>
        <w:spacing w:line="259" w:lineRule="auto"/>
        <w:jc w:val="center"/>
        <w:rPr>
          <w:rFonts w:asciiTheme="minorHAnsi" w:hAnsiTheme="minorHAnsi" w:cstheme="minorHAnsi"/>
          <w:b/>
          <w:bCs/>
          <w:sz w:val="24"/>
          <w:szCs w:val="24"/>
        </w:rPr>
      </w:pPr>
      <w:r>
        <w:rPr>
          <w:rFonts w:asciiTheme="minorHAnsi" w:hAnsiTheme="minorHAnsi" w:cstheme="minorHAnsi"/>
          <w:b/>
          <w:bCs/>
          <w:sz w:val="24"/>
          <w:szCs w:val="24"/>
        </w:rPr>
        <w:t>Processo 285/2023</w:t>
      </w:r>
    </w:p>
    <w:p w14:paraId="013B1866" w14:textId="77777777" w:rsidR="002C6D67" w:rsidRDefault="002C6D67" w:rsidP="002C6D67">
      <w:pPr>
        <w:spacing w:line="259" w:lineRule="auto"/>
        <w:jc w:val="center"/>
        <w:rPr>
          <w:rFonts w:asciiTheme="minorHAnsi" w:hAnsiTheme="minorHAnsi" w:cstheme="minorHAnsi"/>
          <w:b/>
          <w:bCs/>
          <w:sz w:val="24"/>
          <w:szCs w:val="24"/>
        </w:rPr>
      </w:pPr>
    </w:p>
    <w:p w14:paraId="5323BA99" w14:textId="77777777" w:rsidR="002C6D67" w:rsidRDefault="002C6D67" w:rsidP="002C6D67">
      <w:pPr>
        <w:spacing w:line="259" w:lineRule="auto"/>
        <w:jc w:val="both"/>
        <w:rPr>
          <w:rFonts w:asciiTheme="minorHAnsi" w:hAnsiTheme="minorHAnsi" w:cstheme="minorHAnsi"/>
          <w:sz w:val="24"/>
          <w:szCs w:val="24"/>
        </w:rPr>
      </w:pPr>
      <w:r>
        <w:rPr>
          <w:rFonts w:asciiTheme="minorHAnsi" w:hAnsiTheme="minorHAnsi" w:cstheme="minorHAnsi"/>
          <w:b/>
          <w:bCs/>
          <w:sz w:val="24"/>
          <w:szCs w:val="24"/>
        </w:rPr>
        <w:t xml:space="preserve">Contratante: </w:t>
      </w:r>
      <w:r>
        <w:rPr>
          <w:rFonts w:asciiTheme="minorHAnsi" w:hAnsiTheme="minorHAnsi" w:cstheme="minorHAnsi"/>
          <w:sz w:val="24"/>
          <w:szCs w:val="24"/>
        </w:rPr>
        <w:t>Câmara Municipal de Piracicaba, inscrita no CNPJ 51.327.708/0001-92, Inscrição Estadual Isenta, estabelecida à Rua Alferes José Caetano n.º 834, neste Município de Piracicaba, Es</w:t>
      </w:r>
      <w:r>
        <w:rPr>
          <w:rFonts w:asciiTheme="minorHAnsi" w:hAnsiTheme="minorHAnsi" w:cstheme="minorHAnsi"/>
          <w:sz w:val="24"/>
          <w:szCs w:val="24"/>
        </w:rPr>
        <w:softHyphen/>
        <w:t>tado de São Paulo, neste ato representada pelo Senhor Presidente Wagner de Oliveira.</w:t>
      </w:r>
    </w:p>
    <w:p w14:paraId="1CBA6C9B" w14:textId="77777777" w:rsidR="002C6D67" w:rsidRDefault="002C6D67" w:rsidP="002C6D67">
      <w:pPr>
        <w:spacing w:line="259" w:lineRule="auto"/>
        <w:jc w:val="both"/>
        <w:rPr>
          <w:rFonts w:asciiTheme="minorHAnsi" w:hAnsiTheme="minorHAnsi" w:cstheme="minorHAnsi"/>
          <w:sz w:val="24"/>
          <w:szCs w:val="24"/>
        </w:rPr>
      </w:pPr>
    </w:p>
    <w:p w14:paraId="36E54044" w14:textId="43AA8986" w:rsidR="002C6D67" w:rsidRDefault="002C6D67" w:rsidP="002C6D67">
      <w:pPr>
        <w:spacing w:line="259" w:lineRule="auto"/>
        <w:jc w:val="both"/>
        <w:rPr>
          <w:rFonts w:asciiTheme="minorHAnsi" w:hAnsiTheme="minorHAnsi" w:cstheme="minorHAnsi"/>
          <w:sz w:val="24"/>
          <w:szCs w:val="24"/>
        </w:rPr>
      </w:pPr>
      <w:r w:rsidRPr="000A4BBE">
        <w:rPr>
          <w:rFonts w:asciiTheme="minorHAnsi" w:hAnsiTheme="minorHAnsi" w:cstheme="minorHAnsi"/>
          <w:b/>
          <w:bCs/>
          <w:sz w:val="24"/>
          <w:szCs w:val="24"/>
        </w:rPr>
        <w:t xml:space="preserve">Contratada: </w:t>
      </w:r>
      <w:r w:rsidRPr="002C6D67">
        <w:rPr>
          <w:rFonts w:asciiTheme="minorHAnsi" w:hAnsiTheme="minorHAnsi" w:cstheme="minorHAnsi"/>
          <w:b/>
          <w:bCs/>
          <w:sz w:val="24"/>
          <w:szCs w:val="24"/>
        </w:rPr>
        <w:t>R&amp;R – Equipamentos Eletrônicos LTDA-ME</w:t>
      </w:r>
      <w:r>
        <w:rPr>
          <w:rFonts w:asciiTheme="minorHAnsi" w:hAnsiTheme="minorHAnsi" w:cstheme="minorHAnsi"/>
          <w:sz w:val="24"/>
          <w:szCs w:val="24"/>
        </w:rPr>
        <w:t xml:space="preserve">, Inscrita no CNPJ </w:t>
      </w:r>
      <w:r w:rsidRPr="002C6D67">
        <w:rPr>
          <w:rFonts w:asciiTheme="minorHAnsi" w:hAnsiTheme="minorHAnsi" w:cstheme="minorHAnsi"/>
          <w:sz w:val="24"/>
          <w:szCs w:val="24"/>
        </w:rPr>
        <w:t>10.806.106/0001-30</w:t>
      </w:r>
      <w:r>
        <w:rPr>
          <w:rFonts w:asciiTheme="minorHAnsi" w:hAnsiTheme="minorHAnsi" w:cstheme="minorHAnsi"/>
          <w:sz w:val="24"/>
          <w:szCs w:val="24"/>
        </w:rPr>
        <w:t xml:space="preserve">, estabelecida em </w:t>
      </w:r>
      <w:r w:rsidRPr="002C6D67">
        <w:rPr>
          <w:rFonts w:asciiTheme="minorHAnsi" w:hAnsiTheme="minorHAnsi" w:cstheme="minorHAnsi"/>
          <w:sz w:val="24"/>
          <w:szCs w:val="24"/>
        </w:rPr>
        <w:t>OND. AUTO DA BOA VISTA, QUADRA 207 CONJUNTO 02, Casa, 01, Sobradinho-DF</w:t>
      </w:r>
      <w:r>
        <w:rPr>
          <w:rFonts w:asciiTheme="minorHAnsi" w:hAnsiTheme="minorHAnsi" w:cstheme="minorHAnsi"/>
          <w:sz w:val="24"/>
          <w:szCs w:val="24"/>
        </w:rPr>
        <w:t xml:space="preserve">, neste ato representada pelo Senhor </w:t>
      </w:r>
      <w:r w:rsidRPr="002C6D67">
        <w:rPr>
          <w:rFonts w:asciiTheme="minorHAnsi" w:hAnsiTheme="minorHAnsi" w:cstheme="minorHAnsi"/>
          <w:sz w:val="24"/>
          <w:szCs w:val="24"/>
        </w:rPr>
        <w:t>Robson Ribeiro Amorim</w:t>
      </w:r>
    </w:p>
    <w:p w14:paraId="13DF2EE6" w14:textId="77777777" w:rsidR="002C6D67" w:rsidRDefault="002C6D67" w:rsidP="002C6D67">
      <w:pPr>
        <w:spacing w:line="259" w:lineRule="auto"/>
        <w:jc w:val="both"/>
        <w:rPr>
          <w:rFonts w:asciiTheme="minorHAnsi" w:hAnsiTheme="minorHAnsi" w:cstheme="minorHAnsi"/>
          <w:sz w:val="24"/>
          <w:szCs w:val="24"/>
        </w:rPr>
      </w:pPr>
    </w:p>
    <w:p w14:paraId="7416D7E3" w14:textId="77777777" w:rsidR="002C6D67" w:rsidRDefault="002C6D67" w:rsidP="002C6D67">
      <w:pPr>
        <w:pStyle w:val="ListParagraph"/>
        <w:numPr>
          <w:ilvl w:val="0"/>
          <w:numId w:val="1"/>
        </w:numPr>
        <w:spacing w:after="240" w:line="259" w:lineRule="auto"/>
        <w:contextualSpacing w:val="0"/>
        <w:jc w:val="both"/>
        <w:rPr>
          <w:rFonts w:asciiTheme="minorHAnsi" w:hAnsiTheme="minorHAnsi" w:cstheme="minorHAnsi"/>
          <w:b/>
          <w:bCs/>
          <w:sz w:val="24"/>
          <w:szCs w:val="24"/>
        </w:rPr>
      </w:pPr>
      <w:r>
        <w:rPr>
          <w:rFonts w:asciiTheme="minorHAnsi" w:hAnsiTheme="minorHAnsi" w:cstheme="minorHAnsi"/>
          <w:b/>
          <w:bCs/>
          <w:sz w:val="24"/>
          <w:szCs w:val="24"/>
        </w:rPr>
        <w:t>Cláusula Primeira – Objeto</w:t>
      </w:r>
    </w:p>
    <w:p w14:paraId="2B65115C" w14:textId="77777777" w:rsidR="002C6D67" w:rsidRDefault="002C6D67" w:rsidP="002C6D67">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b/>
          <w:sz w:val="24"/>
          <w:szCs w:val="24"/>
        </w:rPr>
        <w:t>Aquisição de equipamentos para transporte do sinal da programação da TV Câmara Piracicaba para transmissão junto à estação do Capim Fino</w:t>
      </w:r>
      <w:r>
        <w:rPr>
          <w:rFonts w:asciiTheme="minorHAnsi" w:hAnsiTheme="minorHAnsi" w:cstheme="minorHAnsi"/>
          <w:sz w:val="24"/>
          <w:szCs w:val="24"/>
        </w:rPr>
        <w:t>.</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818"/>
        <w:gridCol w:w="1021"/>
        <w:gridCol w:w="2659"/>
        <w:gridCol w:w="1636"/>
        <w:gridCol w:w="1841"/>
      </w:tblGrid>
      <w:tr w:rsidR="002C6D67" w:rsidRPr="001E3413" w14:paraId="20298756" w14:textId="77777777" w:rsidTr="002C6D67">
        <w:trPr>
          <w:trHeight w:val="399"/>
        </w:trPr>
        <w:tc>
          <w:tcPr>
            <w:tcW w:w="770" w:type="dxa"/>
            <w:shd w:val="clear" w:color="auto" w:fill="E0E0E0"/>
            <w:vAlign w:val="center"/>
          </w:tcPr>
          <w:p w14:paraId="45DE0E29" w14:textId="77777777" w:rsidR="002C6D67" w:rsidRPr="002C6D67" w:rsidRDefault="002C6D67" w:rsidP="00930240">
            <w:pPr>
              <w:jc w:val="center"/>
              <w:rPr>
                <w:rFonts w:ascii="Calibri" w:hAnsi="Calibri" w:cs="Calibri"/>
                <w:b/>
                <w:sz w:val="24"/>
                <w:szCs w:val="24"/>
              </w:rPr>
            </w:pPr>
            <w:r w:rsidRPr="002C6D67">
              <w:rPr>
                <w:rFonts w:ascii="Calibri" w:hAnsi="Calibri" w:cs="Calibri"/>
                <w:b/>
                <w:sz w:val="24"/>
                <w:szCs w:val="24"/>
              </w:rPr>
              <w:t>Item</w:t>
            </w:r>
          </w:p>
        </w:tc>
        <w:tc>
          <w:tcPr>
            <w:tcW w:w="818" w:type="dxa"/>
            <w:shd w:val="clear" w:color="auto" w:fill="E0E0E0"/>
            <w:vAlign w:val="center"/>
          </w:tcPr>
          <w:p w14:paraId="72D20FEF" w14:textId="77777777" w:rsidR="002C6D67" w:rsidRPr="002C6D67" w:rsidRDefault="002C6D67" w:rsidP="00930240">
            <w:pPr>
              <w:jc w:val="center"/>
              <w:rPr>
                <w:rFonts w:ascii="Calibri" w:hAnsi="Calibri" w:cs="Calibri"/>
                <w:b/>
                <w:sz w:val="24"/>
                <w:szCs w:val="24"/>
              </w:rPr>
            </w:pPr>
            <w:r w:rsidRPr="002C6D67">
              <w:rPr>
                <w:rFonts w:ascii="Calibri" w:hAnsi="Calibri" w:cs="Calibri"/>
                <w:b/>
                <w:sz w:val="24"/>
                <w:szCs w:val="24"/>
              </w:rPr>
              <w:t>Qtde</w:t>
            </w:r>
          </w:p>
        </w:tc>
        <w:tc>
          <w:tcPr>
            <w:tcW w:w="1021" w:type="dxa"/>
            <w:shd w:val="clear" w:color="auto" w:fill="E0E0E0"/>
            <w:vAlign w:val="center"/>
          </w:tcPr>
          <w:p w14:paraId="7FBA4A3E" w14:textId="77777777" w:rsidR="002C6D67" w:rsidRPr="002C6D67" w:rsidRDefault="002C6D67" w:rsidP="00930240">
            <w:pPr>
              <w:jc w:val="center"/>
              <w:rPr>
                <w:rFonts w:ascii="Calibri" w:hAnsi="Calibri" w:cs="Calibri"/>
                <w:b/>
                <w:sz w:val="24"/>
                <w:szCs w:val="24"/>
              </w:rPr>
            </w:pPr>
            <w:r w:rsidRPr="002C6D67">
              <w:rPr>
                <w:rFonts w:ascii="Calibri" w:hAnsi="Calibri" w:cs="Calibri"/>
                <w:b/>
                <w:sz w:val="24"/>
                <w:szCs w:val="24"/>
              </w:rPr>
              <w:t>Unid.</w:t>
            </w:r>
          </w:p>
        </w:tc>
        <w:tc>
          <w:tcPr>
            <w:tcW w:w="2659" w:type="dxa"/>
            <w:shd w:val="clear" w:color="auto" w:fill="E0E0E0"/>
            <w:vAlign w:val="center"/>
          </w:tcPr>
          <w:p w14:paraId="28BF27A2" w14:textId="77777777" w:rsidR="002C6D67" w:rsidRPr="002C6D67" w:rsidRDefault="002C6D67" w:rsidP="00930240">
            <w:pPr>
              <w:jc w:val="center"/>
              <w:rPr>
                <w:rFonts w:ascii="Calibri" w:hAnsi="Calibri" w:cs="Calibri"/>
                <w:b/>
                <w:sz w:val="24"/>
                <w:szCs w:val="24"/>
              </w:rPr>
            </w:pPr>
            <w:r w:rsidRPr="002C6D67">
              <w:rPr>
                <w:rFonts w:ascii="Calibri" w:hAnsi="Calibri" w:cs="Calibri"/>
                <w:b/>
                <w:sz w:val="24"/>
                <w:szCs w:val="24"/>
              </w:rPr>
              <w:t>Descrição</w:t>
            </w:r>
          </w:p>
        </w:tc>
        <w:tc>
          <w:tcPr>
            <w:tcW w:w="1636" w:type="dxa"/>
            <w:shd w:val="clear" w:color="auto" w:fill="E0E0E0"/>
            <w:vAlign w:val="center"/>
          </w:tcPr>
          <w:p w14:paraId="4860361C" w14:textId="77777777" w:rsidR="002C6D67" w:rsidRPr="002C6D67" w:rsidRDefault="002C6D67" w:rsidP="00930240">
            <w:pPr>
              <w:jc w:val="center"/>
              <w:rPr>
                <w:rFonts w:ascii="Calibri" w:hAnsi="Calibri" w:cs="Calibri"/>
                <w:b/>
                <w:sz w:val="24"/>
                <w:szCs w:val="24"/>
              </w:rPr>
            </w:pPr>
            <w:r w:rsidRPr="002C6D67">
              <w:rPr>
                <w:rFonts w:ascii="Calibri" w:hAnsi="Calibri" w:cs="Calibri"/>
                <w:b/>
                <w:sz w:val="24"/>
                <w:szCs w:val="24"/>
              </w:rPr>
              <w:t>Valor Unitário</w:t>
            </w:r>
          </w:p>
        </w:tc>
        <w:tc>
          <w:tcPr>
            <w:tcW w:w="1841" w:type="dxa"/>
            <w:shd w:val="clear" w:color="auto" w:fill="E0E0E0"/>
            <w:vAlign w:val="center"/>
          </w:tcPr>
          <w:p w14:paraId="2E08BC38" w14:textId="77777777" w:rsidR="002C6D67" w:rsidRPr="002C6D67" w:rsidRDefault="002C6D67" w:rsidP="00930240">
            <w:pPr>
              <w:jc w:val="center"/>
              <w:rPr>
                <w:rFonts w:ascii="Calibri" w:hAnsi="Calibri" w:cs="Calibri"/>
                <w:b/>
                <w:sz w:val="24"/>
                <w:szCs w:val="24"/>
              </w:rPr>
            </w:pPr>
            <w:r w:rsidRPr="002C6D67">
              <w:rPr>
                <w:rFonts w:ascii="Calibri" w:hAnsi="Calibri" w:cs="Calibri"/>
                <w:b/>
                <w:sz w:val="24"/>
                <w:szCs w:val="24"/>
              </w:rPr>
              <w:t>Valor Total</w:t>
            </w:r>
          </w:p>
        </w:tc>
      </w:tr>
      <w:tr w:rsidR="002C6D67" w:rsidRPr="001E3413" w14:paraId="4FCA308D" w14:textId="77777777" w:rsidTr="002C6D67">
        <w:trPr>
          <w:trHeight w:val="384"/>
        </w:trPr>
        <w:tc>
          <w:tcPr>
            <w:tcW w:w="770" w:type="dxa"/>
            <w:shd w:val="clear" w:color="auto" w:fill="auto"/>
            <w:vAlign w:val="center"/>
          </w:tcPr>
          <w:p w14:paraId="7439C3A8" w14:textId="77777777" w:rsidR="002C6D67" w:rsidRPr="002C6D67" w:rsidRDefault="002C6D67" w:rsidP="00930240">
            <w:pPr>
              <w:jc w:val="center"/>
              <w:rPr>
                <w:rFonts w:ascii="Calibri" w:hAnsi="Calibri" w:cs="Calibri"/>
                <w:b/>
                <w:sz w:val="24"/>
                <w:szCs w:val="24"/>
              </w:rPr>
            </w:pPr>
            <w:r w:rsidRPr="002C6D67">
              <w:rPr>
                <w:rFonts w:ascii="Calibri" w:hAnsi="Calibri" w:cs="Calibri"/>
                <w:b/>
                <w:sz w:val="24"/>
                <w:szCs w:val="24"/>
              </w:rPr>
              <w:t>03</w:t>
            </w:r>
          </w:p>
        </w:tc>
        <w:tc>
          <w:tcPr>
            <w:tcW w:w="818" w:type="dxa"/>
            <w:shd w:val="clear" w:color="auto" w:fill="auto"/>
            <w:vAlign w:val="center"/>
          </w:tcPr>
          <w:p w14:paraId="671406EE" w14:textId="77777777" w:rsidR="002C6D67" w:rsidRPr="002C6D67" w:rsidRDefault="002C6D67" w:rsidP="00930240">
            <w:pPr>
              <w:jc w:val="center"/>
              <w:rPr>
                <w:rFonts w:ascii="Calibri" w:hAnsi="Calibri" w:cs="Calibri"/>
                <w:sz w:val="24"/>
                <w:szCs w:val="24"/>
              </w:rPr>
            </w:pPr>
            <w:r w:rsidRPr="002C6D67">
              <w:rPr>
                <w:rFonts w:ascii="Calibri" w:hAnsi="Calibri" w:cs="Calibri"/>
                <w:sz w:val="24"/>
                <w:szCs w:val="24"/>
              </w:rPr>
              <w:t>01</w:t>
            </w:r>
          </w:p>
        </w:tc>
        <w:tc>
          <w:tcPr>
            <w:tcW w:w="1021" w:type="dxa"/>
            <w:shd w:val="clear" w:color="auto" w:fill="auto"/>
            <w:vAlign w:val="center"/>
          </w:tcPr>
          <w:p w14:paraId="065ABEE4" w14:textId="77777777" w:rsidR="002C6D67" w:rsidRPr="002C6D67" w:rsidRDefault="002C6D67" w:rsidP="00930240">
            <w:pPr>
              <w:jc w:val="center"/>
              <w:rPr>
                <w:rFonts w:ascii="Calibri" w:hAnsi="Calibri" w:cs="Calibri"/>
                <w:sz w:val="24"/>
                <w:szCs w:val="24"/>
              </w:rPr>
            </w:pPr>
            <w:r w:rsidRPr="002C6D67">
              <w:rPr>
                <w:rFonts w:ascii="Calibri" w:hAnsi="Calibri" w:cs="Calibri"/>
                <w:sz w:val="24"/>
                <w:szCs w:val="24"/>
              </w:rPr>
              <w:t>Unid</w:t>
            </w:r>
          </w:p>
        </w:tc>
        <w:tc>
          <w:tcPr>
            <w:tcW w:w="2659" w:type="dxa"/>
            <w:shd w:val="clear" w:color="auto" w:fill="auto"/>
          </w:tcPr>
          <w:p w14:paraId="6259EFEA" w14:textId="77777777" w:rsidR="002C6D67" w:rsidRPr="002C6D67" w:rsidRDefault="002C6D67" w:rsidP="00930240">
            <w:pPr>
              <w:jc w:val="both"/>
              <w:rPr>
                <w:rFonts w:ascii="Calibri" w:hAnsi="Calibri" w:cs="Calibri"/>
                <w:sz w:val="24"/>
                <w:szCs w:val="24"/>
              </w:rPr>
            </w:pPr>
            <w:r w:rsidRPr="002C6D67">
              <w:rPr>
                <w:rFonts w:ascii="Calibri" w:hAnsi="Calibri" w:cs="Calibri"/>
                <w:sz w:val="24"/>
                <w:szCs w:val="24"/>
              </w:rPr>
              <w:t>Chaveador de vídeo e áudio digital</w:t>
            </w:r>
          </w:p>
        </w:tc>
        <w:tc>
          <w:tcPr>
            <w:tcW w:w="1636" w:type="dxa"/>
            <w:shd w:val="clear" w:color="auto" w:fill="auto"/>
            <w:vAlign w:val="center"/>
          </w:tcPr>
          <w:p w14:paraId="2F55E1F7" w14:textId="77777777" w:rsidR="002C6D67" w:rsidRPr="002C6D67" w:rsidRDefault="002C6D67" w:rsidP="00930240">
            <w:pPr>
              <w:jc w:val="center"/>
              <w:rPr>
                <w:rFonts w:ascii="Calibri" w:hAnsi="Calibri" w:cs="Calibri"/>
                <w:sz w:val="24"/>
                <w:szCs w:val="24"/>
              </w:rPr>
            </w:pPr>
            <w:r w:rsidRPr="002C6D67">
              <w:rPr>
                <w:rFonts w:ascii="Calibri" w:hAnsi="Calibri" w:cs="Calibri"/>
                <w:sz w:val="24"/>
                <w:szCs w:val="24"/>
              </w:rPr>
              <w:t>R$ 9.300,00</w:t>
            </w:r>
          </w:p>
        </w:tc>
        <w:tc>
          <w:tcPr>
            <w:tcW w:w="1841" w:type="dxa"/>
            <w:shd w:val="clear" w:color="auto" w:fill="auto"/>
            <w:vAlign w:val="center"/>
          </w:tcPr>
          <w:p w14:paraId="0CCA812C" w14:textId="77777777" w:rsidR="002C6D67" w:rsidRPr="002C6D67" w:rsidRDefault="002C6D67" w:rsidP="00930240">
            <w:pPr>
              <w:jc w:val="center"/>
              <w:rPr>
                <w:rFonts w:ascii="Calibri" w:hAnsi="Calibri" w:cs="Calibri"/>
                <w:sz w:val="24"/>
                <w:szCs w:val="24"/>
              </w:rPr>
            </w:pPr>
            <w:r w:rsidRPr="002C6D67">
              <w:rPr>
                <w:rFonts w:ascii="Calibri" w:hAnsi="Calibri" w:cs="Calibri"/>
                <w:sz w:val="24"/>
                <w:szCs w:val="24"/>
              </w:rPr>
              <w:t>R$ 9.300,00</w:t>
            </w:r>
          </w:p>
        </w:tc>
      </w:tr>
      <w:tr w:rsidR="002C6D67" w:rsidRPr="001E3413" w14:paraId="139EDCC9" w14:textId="77777777" w:rsidTr="002C6D67">
        <w:trPr>
          <w:trHeight w:val="599"/>
        </w:trPr>
        <w:tc>
          <w:tcPr>
            <w:tcW w:w="770" w:type="dxa"/>
            <w:shd w:val="clear" w:color="auto" w:fill="auto"/>
            <w:vAlign w:val="center"/>
          </w:tcPr>
          <w:p w14:paraId="1AB57A93" w14:textId="77777777" w:rsidR="002C6D67" w:rsidRPr="002C6D67" w:rsidRDefault="002C6D67" w:rsidP="00930240">
            <w:pPr>
              <w:jc w:val="center"/>
              <w:rPr>
                <w:rFonts w:ascii="Calibri" w:hAnsi="Calibri" w:cs="Calibri"/>
                <w:b/>
                <w:sz w:val="24"/>
                <w:szCs w:val="24"/>
              </w:rPr>
            </w:pPr>
            <w:r w:rsidRPr="002C6D67">
              <w:rPr>
                <w:rFonts w:ascii="Calibri" w:hAnsi="Calibri" w:cs="Calibri"/>
                <w:b/>
                <w:sz w:val="24"/>
                <w:szCs w:val="24"/>
              </w:rPr>
              <w:t>04</w:t>
            </w:r>
          </w:p>
        </w:tc>
        <w:tc>
          <w:tcPr>
            <w:tcW w:w="818" w:type="dxa"/>
            <w:shd w:val="clear" w:color="auto" w:fill="auto"/>
            <w:vAlign w:val="center"/>
          </w:tcPr>
          <w:p w14:paraId="3F2C1BB7" w14:textId="77777777" w:rsidR="002C6D67" w:rsidRPr="002C6D67" w:rsidRDefault="002C6D67" w:rsidP="00930240">
            <w:pPr>
              <w:jc w:val="center"/>
              <w:rPr>
                <w:rFonts w:ascii="Calibri" w:hAnsi="Calibri" w:cs="Calibri"/>
                <w:sz w:val="24"/>
                <w:szCs w:val="24"/>
              </w:rPr>
            </w:pPr>
            <w:r w:rsidRPr="002C6D67">
              <w:rPr>
                <w:rFonts w:ascii="Calibri" w:hAnsi="Calibri" w:cs="Calibri"/>
                <w:sz w:val="24"/>
                <w:szCs w:val="24"/>
              </w:rPr>
              <w:t>01</w:t>
            </w:r>
          </w:p>
        </w:tc>
        <w:tc>
          <w:tcPr>
            <w:tcW w:w="1021" w:type="dxa"/>
            <w:shd w:val="clear" w:color="auto" w:fill="auto"/>
            <w:vAlign w:val="center"/>
          </w:tcPr>
          <w:p w14:paraId="1A300BCE" w14:textId="77777777" w:rsidR="002C6D67" w:rsidRPr="002C6D67" w:rsidRDefault="002C6D67" w:rsidP="00930240">
            <w:pPr>
              <w:jc w:val="center"/>
              <w:rPr>
                <w:rFonts w:ascii="Calibri" w:hAnsi="Calibri" w:cs="Calibri"/>
                <w:sz w:val="24"/>
                <w:szCs w:val="24"/>
              </w:rPr>
            </w:pPr>
            <w:r w:rsidRPr="002C6D67">
              <w:rPr>
                <w:rFonts w:ascii="Calibri" w:hAnsi="Calibri" w:cs="Calibri"/>
                <w:sz w:val="24"/>
                <w:szCs w:val="24"/>
              </w:rPr>
              <w:t>Unid</w:t>
            </w:r>
          </w:p>
        </w:tc>
        <w:tc>
          <w:tcPr>
            <w:tcW w:w="2659" w:type="dxa"/>
            <w:shd w:val="clear" w:color="auto" w:fill="auto"/>
          </w:tcPr>
          <w:p w14:paraId="4041ACE3" w14:textId="77777777" w:rsidR="002C6D67" w:rsidRPr="002C6D67" w:rsidRDefault="002C6D67" w:rsidP="00930240">
            <w:pPr>
              <w:jc w:val="both"/>
              <w:rPr>
                <w:rFonts w:ascii="Calibri" w:hAnsi="Calibri" w:cs="Calibri"/>
                <w:sz w:val="24"/>
                <w:szCs w:val="24"/>
              </w:rPr>
            </w:pPr>
            <w:r w:rsidRPr="002C6D67">
              <w:rPr>
                <w:rFonts w:ascii="Calibri" w:hAnsi="Calibri" w:cs="Calibri"/>
                <w:sz w:val="24"/>
                <w:szCs w:val="24"/>
              </w:rPr>
              <w:t>Módulo conversor de formato padrão SDI e HDMI</w:t>
            </w:r>
          </w:p>
        </w:tc>
        <w:tc>
          <w:tcPr>
            <w:tcW w:w="1636" w:type="dxa"/>
            <w:shd w:val="clear" w:color="auto" w:fill="auto"/>
            <w:vAlign w:val="center"/>
          </w:tcPr>
          <w:p w14:paraId="32924C25" w14:textId="77777777" w:rsidR="002C6D67" w:rsidRPr="002C6D67" w:rsidRDefault="002C6D67" w:rsidP="00930240">
            <w:pPr>
              <w:jc w:val="center"/>
              <w:rPr>
                <w:rFonts w:ascii="Calibri" w:hAnsi="Calibri" w:cs="Calibri"/>
                <w:sz w:val="24"/>
                <w:szCs w:val="24"/>
              </w:rPr>
            </w:pPr>
            <w:r w:rsidRPr="002C6D67">
              <w:rPr>
                <w:rFonts w:ascii="Calibri" w:hAnsi="Calibri" w:cs="Calibri"/>
                <w:sz w:val="24"/>
                <w:szCs w:val="24"/>
              </w:rPr>
              <w:t>R$ 1.460,00</w:t>
            </w:r>
          </w:p>
        </w:tc>
        <w:tc>
          <w:tcPr>
            <w:tcW w:w="1841" w:type="dxa"/>
            <w:shd w:val="clear" w:color="auto" w:fill="auto"/>
            <w:vAlign w:val="center"/>
          </w:tcPr>
          <w:p w14:paraId="317FEC74" w14:textId="77777777" w:rsidR="002C6D67" w:rsidRPr="002C6D67" w:rsidRDefault="002C6D67" w:rsidP="00930240">
            <w:pPr>
              <w:jc w:val="center"/>
              <w:rPr>
                <w:rFonts w:ascii="Calibri" w:hAnsi="Calibri" w:cs="Calibri"/>
                <w:sz w:val="24"/>
                <w:szCs w:val="24"/>
              </w:rPr>
            </w:pPr>
            <w:r w:rsidRPr="002C6D67">
              <w:rPr>
                <w:rFonts w:ascii="Calibri" w:hAnsi="Calibri" w:cs="Calibri"/>
                <w:sz w:val="24"/>
                <w:szCs w:val="24"/>
              </w:rPr>
              <w:t>R$ 1.460,00</w:t>
            </w:r>
          </w:p>
        </w:tc>
      </w:tr>
      <w:tr w:rsidR="002C6D67" w:rsidRPr="001E3413" w14:paraId="45C6C6E9" w14:textId="77777777" w:rsidTr="002C6D67">
        <w:trPr>
          <w:trHeight w:val="399"/>
        </w:trPr>
        <w:tc>
          <w:tcPr>
            <w:tcW w:w="770" w:type="dxa"/>
            <w:shd w:val="clear" w:color="auto" w:fill="auto"/>
            <w:vAlign w:val="center"/>
          </w:tcPr>
          <w:p w14:paraId="5088B8CD" w14:textId="77777777" w:rsidR="002C6D67" w:rsidRPr="002C6D67" w:rsidRDefault="002C6D67" w:rsidP="00930240">
            <w:pPr>
              <w:jc w:val="center"/>
              <w:rPr>
                <w:rFonts w:ascii="Calibri" w:hAnsi="Calibri" w:cs="Calibri"/>
                <w:b/>
                <w:sz w:val="24"/>
                <w:szCs w:val="24"/>
              </w:rPr>
            </w:pPr>
            <w:r w:rsidRPr="002C6D67">
              <w:rPr>
                <w:rFonts w:ascii="Calibri" w:hAnsi="Calibri" w:cs="Calibri"/>
                <w:b/>
                <w:sz w:val="24"/>
                <w:szCs w:val="24"/>
              </w:rPr>
              <w:t>05</w:t>
            </w:r>
          </w:p>
        </w:tc>
        <w:tc>
          <w:tcPr>
            <w:tcW w:w="818" w:type="dxa"/>
            <w:shd w:val="clear" w:color="auto" w:fill="auto"/>
            <w:vAlign w:val="center"/>
          </w:tcPr>
          <w:p w14:paraId="282669A4" w14:textId="77777777" w:rsidR="002C6D67" w:rsidRPr="002C6D67" w:rsidRDefault="002C6D67" w:rsidP="00930240">
            <w:pPr>
              <w:jc w:val="center"/>
              <w:rPr>
                <w:rFonts w:ascii="Calibri" w:hAnsi="Calibri" w:cs="Calibri"/>
                <w:sz w:val="24"/>
                <w:szCs w:val="24"/>
              </w:rPr>
            </w:pPr>
            <w:r w:rsidRPr="002C6D67">
              <w:rPr>
                <w:rFonts w:ascii="Calibri" w:hAnsi="Calibri" w:cs="Calibri"/>
                <w:sz w:val="24"/>
                <w:szCs w:val="24"/>
              </w:rPr>
              <w:t>01</w:t>
            </w:r>
          </w:p>
        </w:tc>
        <w:tc>
          <w:tcPr>
            <w:tcW w:w="1021" w:type="dxa"/>
            <w:shd w:val="clear" w:color="auto" w:fill="auto"/>
            <w:vAlign w:val="center"/>
          </w:tcPr>
          <w:p w14:paraId="64AF71E5" w14:textId="77777777" w:rsidR="002C6D67" w:rsidRPr="002C6D67" w:rsidRDefault="002C6D67" w:rsidP="00930240">
            <w:pPr>
              <w:jc w:val="center"/>
              <w:rPr>
                <w:rFonts w:ascii="Calibri" w:hAnsi="Calibri" w:cs="Calibri"/>
                <w:sz w:val="24"/>
                <w:szCs w:val="24"/>
              </w:rPr>
            </w:pPr>
            <w:r w:rsidRPr="002C6D67">
              <w:rPr>
                <w:rFonts w:ascii="Calibri" w:hAnsi="Calibri" w:cs="Calibri"/>
                <w:sz w:val="24"/>
                <w:szCs w:val="24"/>
              </w:rPr>
              <w:t>Unid.</w:t>
            </w:r>
          </w:p>
        </w:tc>
        <w:tc>
          <w:tcPr>
            <w:tcW w:w="2659" w:type="dxa"/>
            <w:shd w:val="clear" w:color="auto" w:fill="auto"/>
          </w:tcPr>
          <w:p w14:paraId="39B15CAC" w14:textId="77777777" w:rsidR="002C6D67" w:rsidRPr="002C6D67" w:rsidRDefault="002C6D67" w:rsidP="00930240">
            <w:pPr>
              <w:jc w:val="both"/>
              <w:rPr>
                <w:rFonts w:ascii="Calibri" w:hAnsi="Calibri" w:cs="Calibri"/>
                <w:sz w:val="24"/>
                <w:szCs w:val="24"/>
              </w:rPr>
            </w:pPr>
            <w:r w:rsidRPr="002C6D67">
              <w:rPr>
                <w:rFonts w:ascii="Calibri" w:hAnsi="Calibri" w:cs="Calibri"/>
                <w:sz w:val="24"/>
                <w:szCs w:val="24"/>
              </w:rPr>
              <w:t>Módulo distribuidor de sinais SDI</w:t>
            </w:r>
          </w:p>
        </w:tc>
        <w:tc>
          <w:tcPr>
            <w:tcW w:w="1636" w:type="dxa"/>
            <w:shd w:val="clear" w:color="auto" w:fill="auto"/>
            <w:vAlign w:val="center"/>
          </w:tcPr>
          <w:p w14:paraId="643CFD56" w14:textId="77777777" w:rsidR="002C6D67" w:rsidRPr="002C6D67" w:rsidRDefault="002C6D67" w:rsidP="00930240">
            <w:pPr>
              <w:jc w:val="center"/>
              <w:rPr>
                <w:rFonts w:ascii="Calibri" w:hAnsi="Calibri" w:cs="Calibri"/>
                <w:sz w:val="24"/>
                <w:szCs w:val="24"/>
              </w:rPr>
            </w:pPr>
            <w:r w:rsidRPr="002C6D67">
              <w:rPr>
                <w:rFonts w:ascii="Calibri" w:hAnsi="Calibri" w:cs="Calibri"/>
                <w:sz w:val="24"/>
                <w:szCs w:val="24"/>
              </w:rPr>
              <w:t>R$ 1.580,00</w:t>
            </w:r>
          </w:p>
        </w:tc>
        <w:tc>
          <w:tcPr>
            <w:tcW w:w="1841" w:type="dxa"/>
            <w:shd w:val="clear" w:color="auto" w:fill="auto"/>
            <w:vAlign w:val="center"/>
          </w:tcPr>
          <w:p w14:paraId="12CFB7B1" w14:textId="77777777" w:rsidR="002C6D67" w:rsidRPr="002C6D67" w:rsidRDefault="002C6D67" w:rsidP="00930240">
            <w:pPr>
              <w:jc w:val="center"/>
              <w:rPr>
                <w:rFonts w:ascii="Calibri" w:hAnsi="Calibri" w:cs="Calibri"/>
                <w:sz w:val="24"/>
                <w:szCs w:val="24"/>
              </w:rPr>
            </w:pPr>
            <w:r w:rsidRPr="002C6D67">
              <w:rPr>
                <w:rFonts w:ascii="Calibri" w:hAnsi="Calibri" w:cs="Calibri"/>
                <w:sz w:val="24"/>
                <w:szCs w:val="24"/>
              </w:rPr>
              <w:t>R$ 1.580,00</w:t>
            </w:r>
          </w:p>
        </w:tc>
      </w:tr>
    </w:tbl>
    <w:p w14:paraId="5F57AD7E" w14:textId="5DFEA213" w:rsidR="002C6D67" w:rsidRPr="00252CAB" w:rsidRDefault="002C6D67" w:rsidP="002C6D67">
      <w:pPr>
        <w:spacing w:after="240" w:line="259" w:lineRule="auto"/>
        <w:ind w:left="360"/>
        <w:jc w:val="center"/>
        <w:rPr>
          <w:rFonts w:asciiTheme="minorHAnsi" w:hAnsiTheme="minorHAnsi" w:cstheme="minorHAnsi"/>
          <w:sz w:val="24"/>
          <w:szCs w:val="24"/>
        </w:rPr>
      </w:pPr>
    </w:p>
    <w:p w14:paraId="41A7A805" w14:textId="77777777" w:rsidR="002C6D67" w:rsidRDefault="002C6D67" w:rsidP="002C6D67">
      <w:pPr>
        <w:pStyle w:val="ListParagraph"/>
        <w:numPr>
          <w:ilvl w:val="1"/>
          <w:numId w:val="1"/>
        </w:numPr>
        <w:spacing w:after="240" w:line="259" w:lineRule="auto"/>
        <w:contextualSpacing w:val="0"/>
        <w:jc w:val="both"/>
        <w:rPr>
          <w:rFonts w:asciiTheme="minorHAnsi" w:hAnsiTheme="minorHAnsi" w:cstheme="minorHAnsi"/>
          <w:sz w:val="24"/>
          <w:szCs w:val="24"/>
        </w:rPr>
      </w:pPr>
      <w:r w:rsidRPr="00252CAB">
        <w:rPr>
          <w:rFonts w:asciiTheme="minorHAnsi" w:hAnsiTheme="minorHAnsi" w:cstheme="minorHAnsi"/>
          <w:sz w:val="24"/>
          <w:szCs w:val="24"/>
        </w:rPr>
        <w:t>Vinculam esta contratação, independentemente de transcrição</w:t>
      </w:r>
      <w:r>
        <w:rPr>
          <w:rFonts w:asciiTheme="minorHAnsi" w:hAnsiTheme="minorHAnsi" w:cstheme="minorHAnsi"/>
          <w:sz w:val="24"/>
          <w:szCs w:val="24"/>
        </w:rPr>
        <w:t>:</w:t>
      </w:r>
    </w:p>
    <w:p w14:paraId="57E59B36" w14:textId="77777777" w:rsidR="002C6D67" w:rsidRDefault="002C6D67" w:rsidP="002C6D67">
      <w:pPr>
        <w:pStyle w:val="ListParagraph"/>
        <w:numPr>
          <w:ilvl w:val="0"/>
          <w:numId w:val="2"/>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O Termo de Referência</w:t>
      </w:r>
    </w:p>
    <w:p w14:paraId="1E8046D4" w14:textId="77777777" w:rsidR="002C6D67" w:rsidRDefault="002C6D67" w:rsidP="002C6D67">
      <w:pPr>
        <w:pStyle w:val="ListParagraph"/>
        <w:numPr>
          <w:ilvl w:val="0"/>
          <w:numId w:val="2"/>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O Edital da Licitação</w:t>
      </w:r>
    </w:p>
    <w:p w14:paraId="3A29EF2F" w14:textId="77777777" w:rsidR="002C6D67" w:rsidRDefault="002C6D67" w:rsidP="002C6D67">
      <w:pPr>
        <w:pStyle w:val="ListParagraph"/>
        <w:numPr>
          <w:ilvl w:val="0"/>
          <w:numId w:val="2"/>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A Proposta da Contratada</w:t>
      </w:r>
    </w:p>
    <w:p w14:paraId="75C9B271" w14:textId="77777777" w:rsidR="002C6D67" w:rsidRPr="00252CAB" w:rsidRDefault="002C6D67" w:rsidP="002C6D67">
      <w:pPr>
        <w:pStyle w:val="ListParagraph"/>
        <w:numPr>
          <w:ilvl w:val="0"/>
          <w:numId w:val="2"/>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Eventuais anexos aos documentos supracitados</w:t>
      </w:r>
    </w:p>
    <w:p w14:paraId="55CF871F" w14:textId="77777777" w:rsidR="002C6D67" w:rsidRPr="00574074" w:rsidRDefault="002C6D67" w:rsidP="002C6D67">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574074">
        <w:rPr>
          <w:rFonts w:asciiTheme="minorHAnsi" w:hAnsiTheme="minorHAnsi" w:cstheme="minorHAnsi"/>
          <w:b/>
          <w:bCs/>
          <w:sz w:val="24"/>
          <w:szCs w:val="24"/>
        </w:rPr>
        <w:t>Cláusula Segunda – Recursos Financeiros</w:t>
      </w:r>
    </w:p>
    <w:p w14:paraId="157F83A9" w14:textId="2EDFA7E6" w:rsidR="002C6D67" w:rsidRDefault="002C6D67" w:rsidP="002C6D67">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O presente contrato terá o valor total de R$ </w:t>
      </w:r>
      <w:r w:rsidR="00582281">
        <w:rPr>
          <w:rFonts w:asciiTheme="minorHAnsi" w:hAnsiTheme="minorHAnsi" w:cstheme="minorHAnsi"/>
          <w:sz w:val="24"/>
          <w:szCs w:val="24"/>
        </w:rPr>
        <w:t>12.340,00 (Doze mil, trezentos e quarente reais)</w:t>
      </w:r>
    </w:p>
    <w:p w14:paraId="57EAA43D" w14:textId="77777777" w:rsidR="002C6D67" w:rsidRDefault="002C6D67" w:rsidP="002C6D67">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lastRenderedPageBreak/>
        <w:t xml:space="preserve">As despesas decorrentes da contratação, objeto deste contrato, correrão à conta da dotação orçamentária </w:t>
      </w:r>
      <w:r>
        <w:rPr>
          <w:rFonts w:asciiTheme="minorHAnsi" w:eastAsiaTheme="minorHAnsi" w:hAnsiTheme="minorHAnsi" w:cstheme="minorHAnsi"/>
          <w:sz w:val="24"/>
          <w:szCs w:val="24"/>
          <w:lang w:eastAsia="en-US"/>
        </w:rPr>
        <w:t>N</w:t>
      </w:r>
      <w:r w:rsidRPr="004B4701">
        <w:rPr>
          <w:rFonts w:asciiTheme="minorHAnsi" w:eastAsiaTheme="minorHAnsi" w:hAnsiTheme="minorHAnsi" w:cstheme="minorHAnsi"/>
          <w:sz w:val="24"/>
          <w:szCs w:val="24"/>
          <w:lang w:eastAsia="en-US"/>
        </w:rPr>
        <w:t>º</w:t>
      </w:r>
      <w:r>
        <w:rPr>
          <w:rFonts w:asciiTheme="minorHAnsi" w:eastAsiaTheme="minorHAnsi" w:hAnsiTheme="minorHAnsi" w:cstheme="minorHAnsi"/>
          <w:sz w:val="24"/>
          <w:szCs w:val="24"/>
          <w:lang w:eastAsia="en-US"/>
        </w:rPr>
        <w:t>s</w:t>
      </w:r>
      <w:r w:rsidRPr="004B4701">
        <w:rPr>
          <w:rFonts w:asciiTheme="minorHAnsi" w:eastAsiaTheme="minorHAnsi" w:hAnsiTheme="minorHAnsi" w:cstheme="minorHAnsi"/>
          <w:sz w:val="24"/>
          <w:szCs w:val="24"/>
          <w:lang w:eastAsia="en-US"/>
        </w:rPr>
        <w:t xml:space="preserve"> 01.031.0001.2.373 </w:t>
      </w:r>
      <w:r>
        <w:rPr>
          <w:rFonts w:asciiTheme="minorHAnsi" w:eastAsiaTheme="minorHAnsi" w:hAnsiTheme="minorHAnsi" w:cstheme="minorHAnsi"/>
          <w:sz w:val="24"/>
          <w:szCs w:val="24"/>
          <w:lang w:eastAsia="en-US"/>
        </w:rPr>
        <w:t>4.4.90.52</w:t>
      </w:r>
      <w:r w:rsidRPr="004B4701">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Material Permanente e </w:t>
      </w:r>
      <w:r w:rsidRPr="004B4701">
        <w:rPr>
          <w:rFonts w:asciiTheme="minorHAnsi" w:eastAsiaTheme="minorHAnsi" w:hAnsiTheme="minorHAnsi" w:cstheme="minorHAnsi"/>
          <w:sz w:val="24"/>
          <w:szCs w:val="24"/>
          <w:lang w:eastAsia="en-US"/>
        </w:rPr>
        <w:t xml:space="preserve">01.031.0001.2.373 </w:t>
      </w:r>
      <w:r>
        <w:rPr>
          <w:rFonts w:asciiTheme="minorHAnsi" w:eastAsiaTheme="minorHAnsi" w:hAnsiTheme="minorHAnsi" w:cstheme="minorHAnsi"/>
          <w:sz w:val="24"/>
          <w:szCs w:val="24"/>
          <w:lang w:eastAsia="en-US"/>
        </w:rPr>
        <w:t>3.3.90.30 Materiais de Consumo</w:t>
      </w:r>
      <w:r w:rsidRPr="004B4701">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constantes</w:t>
      </w:r>
      <w:r w:rsidRPr="004B4701">
        <w:rPr>
          <w:rFonts w:asciiTheme="minorHAnsi" w:eastAsiaTheme="minorHAnsi" w:hAnsiTheme="minorHAnsi" w:cstheme="minorHAnsi"/>
          <w:sz w:val="24"/>
          <w:szCs w:val="24"/>
          <w:lang w:eastAsia="en-US"/>
        </w:rPr>
        <w:t xml:space="preserve"> para o exercício de </w:t>
      </w:r>
      <w:r>
        <w:rPr>
          <w:rFonts w:asciiTheme="minorHAnsi" w:eastAsiaTheme="minorHAnsi" w:hAnsiTheme="minorHAnsi" w:cstheme="minorHAnsi"/>
          <w:sz w:val="24"/>
          <w:szCs w:val="24"/>
          <w:lang w:eastAsia="en-US"/>
        </w:rPr>
        <w:t>2023</w:t>
      </w:r>
      <w:r w:rsidRPr="004B4701">
        <w:rPr>
          <w:rFonts w:asciiTheme="minorHAnsi" w:eastAsiaTheme="minorHAnsi" w:hAnsiTheme="minorHAnsi" w:cstheme="minorHAnsi"/>
          <w:sz w:val="24"/>
          <w:szCs w:val="24"/>
          <w:lang w:eastAsia="en-US"/>
        </w:rPr>
        <w:t xml:space="preserve"> </w:t>
      </w:r>
      <w:r>
        <w:rPr>
          <w:rFonts w:asciiTheme="minorHAnsi" w:hAnsiTheme="minorHAnsi" w:cstheme="minorHAnsi"/>
          <w:sz w:val="24"/>
          <w:szCs w:val="24"/>
        </w:rPr>
        <w:t>– Pessoa Jurídica, constantes para o exercício de 2023 e seguintes.</w:t>
      </w:r>
    </w:p>
    <w:p w14:paraId="5FAB9AB0" w14:textId="77777777" w:rsidR="002C6D67" w:rsidRPr="00574074" w:rsidRDefault="002C6D67" w:rsidP="002C6D67">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574074">
        <w:rPr>
          <w:rFonts w:asciiTheme="minorHAnsi" w:hAnsiTheme="minorHAnsi" w:cstheme="minorHAnsi"/>
          <w:b/>
          <w:bCs/>
          <w:sz w:val="24"/>
          <w:szCs w:val="24"/>
        </w:rPr>
        <w:t>Cláusula Terceira – Suporte Legal</w:t>
      </w:r>
    </w:p>
    <w:p w14:paraId="555A4CAB" w14:textId="77777777" w:rsidR="002C6D67" w:rsidRDefault="002C6D67" w:rsidP="002C6D67">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Este contrato é regulado pelos seguintes dispositivos legais:</w:t>
      </w:r>
    </w:p>
    <w:p w14:paraId="043C2A32" w14:textId="77777777" w:rsidR="002C6D67" w:rsidRDefault="002C6D67" w:rsidP="002C6D67">
      <w:pPr>
        <w:pStyle w:val="ListParagraph"/>
        <w:numPr>
          <w:ilvl w:val="2"/>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Lei Orgânica do Município de Piracicaba;</w:t>
      </w:r>
    </w:p>
    <w:p w14:paraId="132B6D20" w14:textId="77777777" w:rsidR="002C6D67" w:rsidRDefault="002C6D67" w:rsidP="002C6D67">
      <w:pPr>
        <w:pStyle w:val="ListParagraph"/>
        <w:numPr>
          <w:ilvl w:val="2"/>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Decreto Nº 06/23;</w:t>
      </w:r>
    </w:p>
    <w:p w14:paraId="04061781" w14:textId="77777777" w:rsidR="002C6D67" w:rsidRDefault="002C6D67" w:rsidP="002C6D67">
      <w:pPr>
        <w:pStyle w:val="ListParagraph"/>
        <w:numPr>
          <w:ilvl w:val="2"/>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Lei Federal 14.133/21;</w:t>
      </w:r>
    </w:p>
    <w:p w14:paraId="78C07026" w14:textId="77777777" w:rsidR="002C6D67" w:rsidRDefault="002C6D67" w:rsidP="002C6D67">
      <w:pPr>
        <w:pStyle w:val="ListParagraph"/>
        <w:numPr>
          <w:ilvl w:val="2"/>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Lei Complementar 123/06.</w:t>
      </w:r>
    </w:p>
    <w:p w14:paraId="099B5C2B" w14:textId="77777777" w:rsidR="002C6D67" w:rsidRPr="00574074" w:rsidRDefault="002C6D67" w:rsidP="002C6D67">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574074">
        <w:rPr>
          <w:rFonts w:asciiTheme="minorHAnsi" w:hAnsiTheme="minorHAnsi" w:cstheme="minorHAnsi"/>
          <w:b/>
          <w:bCs/>
          <w:sz w:val="24"/>
          <w:szCs w:val="24"/>
        </w:rPr>
        <w:t>Cláusula Quarta – Administração e prazo de vigência</w:t>
      </w:r>
    </w:p>
    <w:p w14:paraId="282B8290" w14:textId="2685C872" w:rsidR="002C6D67" w:rsidRDefault="002C6D67" w:rsidP="002C6D67">
      <w:pPr>
        <w:pStyle w:val="ListParagraph"/>
        <w:numPr>
          <w:ilvl w:val="1"/>
          <w:numId w:val="1"/>
        </w:numPr>
        <w:spacing w:after="240" w:line="259" w:lineRule="auto"/>
        <w:contextualSpacing w:val="0"/>
        <w:jc w:val="both"/>
        <w:rPr>
          <w:rFonts w:asciiTheme="minorHAnsi" w:hAnsiTheme="minorHAnsi" w:cstheme="minorHAnsi"/>
          <w:sz w:val="24"/>
          <w:szCs w:val="24"/>
        </w:rPr>
      </w:pPr>
      <w:r w:rsidRPr="00252CAB">
        <w:rPr>
          <w:rFonts w:asciiTheme="minorHAnsi" w:hAnsiTheme="minorHAnsi" w:cstheme="minorHAnsi"/>
          <w:sz w:val="24"/>
          <w:szCs w:val="24"/>
        </w:rPr>
        <w:t>O prazo de vigência da contratação é de</w:t>
      </w:r>
      <w:r>
        <w:rPr>
          <w:rFonts w:asciiTheme="minorHAnsi" w:hAnsiTheme="minorHAnsi" w:cstheme="minorHAnsi"/>
          <w:sz w:val="24"/>
          <w:szCs w:val="24"/>
        </w:rPr>
        <w:t xml:space="preserve"> 12 (doze) meses</w:t>
      </w:r>
      <w:r w:rsidRPr="00252CAB">
        <w:rPr>
          <w:rFonts w:asciiTheme="minorHAnsi" w:hAnsiTheme="minorHAnsi" w:cstheme="minorHAnsi"/>
          <w:sz w:val="24"/>
          <w:szCs w:val="24"/>
        </w:rPr>
        <w:t>, contado</w:t>
      </w:r>
      <w:r>
        <w:rPr>
          <w:rFonts w:asciiTheme="minorHAnsi" w:hAnsiTheme="minorHAnsi" w:cstheme="minorHAnsi"/>
          <w:sz w:val="24"/>
          <w:szCs w:val="24"/>
        </w:rPr>
        <w:t>s</w:t>
      </w:r>
      <w:r w:rsidRPr="00252CAB">
        <w:rPr>
          <w:rFonts w:asciiTheme="minorHAnsi" w:hAnsiTheme="minorHAnsi" w:cstheme="minorHAnsi"/>
          <w:sz w:val="24"/>
          <w:szCs w:val="24"/>
        </w:rPr>
        <w:t xml:space="preserve"> da sua divulgação no Portal Nacional de Contratações Públicas</w:t>
      </w:r>
      <w:r>
        <w:rPr>
          <w:rFonts w:asciiTheme="minorHAnsi" w:hAnsiTheme="minorHAnsi" w:cstheme="minorHAnsi"/>
          <w:sz w:val="24"/>
          <w:szCs w:val="24"/>
        </w:rPr>
        <w:t>.</w:t>
      </w:r>
    </w:p>
    <w:p w14:paraId="283C96D8" w14:textId="77777777" w:rsidR="002C6D67" w:rsidRPr="00BE2C27" w:rsidRDefault="002C6D67" w:rsidP="002C6D67">
      <w:pPr>
        <w:pStyle w:val="ListParagraph"/>
        <w:numPr>
          <w:ilvl w:val="2"/>
          <w:numId w:val="1"/>
        </w:numPr>
        <w:spacing w:after="240" w:line="259" w:lineRule="auto"/>
        <w:contextualSpacing w:val="0"/>
        <w:jc w:val="both"/>
        <w:rPr>
          <w:rFonts w:asciiTheme="minorHAnsi" w:hAnsiTheme="minorHAnsi" w:cstheme="minorHAnsi"/>
          <w:sz w:val="24"/>
          <w:szCs w:val="24"/>
        </w:rPr>
      </w:pPr>
      <w:r w:rsidRPr="00BE2C27">
        <w:rPr>
          <w:rFonts w:asciiTheme="minorHAnsi" w:hAnsiTheme="minorHAnsi" w:cstheme="minorHAnsi"/>
          <w:sz w:val="24"/>
          <w:szCs w:val="24"/>
        </w:rPr>
        <w:t>A</w:t>
      </w:r>
      <w:r w:rsidRPr="00BE2C27">
        <w:t xml:space="preserve"> </w:t>
      </w:r>
      <w:r w:rsidRPr="00BE2C27">
        <w:rPr>
          <w:rFonts w:asciiTheme="minorHAnsi" w:hAnsiTheme="minorHAnsi" w:cstheme="minorHAnsi"/>
          <w:sz w:val="24"/>
          <w:szCs w:val="24"/>
        </w:rPr>
        <w:t>O prazo de vigência será automaticamente prorrogado, independentemente de termo aditivo, quando o objeto não for concluído no período firmado acima, ressalvadas as providências cabíveis no caso de culpa do contratado, previstas neste instrumento.</w:t>
      </w:r>
    </w:p>
    <w:p w14:paraId="3773AFB7" w14:textId="77777777" w:rsidR="002C6D67" w:rsidRPr="00574074" w:rsidRDefault="002C6D67" w:rsidP="002C6D67">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574074">
        <w:rPr>
          <w:rFonts w:asciiTheme="minorHAnsi" w:hAnsiTheme="minorHAnsi" w:cstheme="minorHAnsi"/>
          <w:b/>
          <w:bCs/>
          <w:sz w:val="24"/>
          <w:szCs w:val="24"/>
        </w:rPr>
        <w:t xml:space="preserve">Cláusula Quinta – </w:t>
      </w:r>
      <w:r>
        <w:rPr>
          <w:rFonts w:asciiTheme="minorHAnsi" w:hAnsiTheme="minorHAnsi" w:cstheme="minorHAnsi"/>
          <w:b/>
          <w:bCs/>
          <w:sz w:val="24"/>
          <w:szCs w:val="24"/>
        </w:rPr>
        <w:t>Regime de Execução</w:t>
      </w:r>
    </w:p>
    <w:p w14:paraId="6C28D1C0" w14:textId="77777777" w:rsidR="002C6D67" w:rsidRDefault="002C6D67" w:rsidP="002C6D67">
      <w:pPr>
        <w:pStyle w:val="ListParagraph"/>
        <w:numPr>
          <w:ilvl w:val="1"/>
          <w:numId w:val="1"/>
        </w:numPr>
        <w:spacing w:after="240" w:line="259" w:lineRule="auto"/>
        <w:contextualSpacing w:val="0"/>
        <w:jc w:val="both"/>
        <w:rPr>
          <w:rFonts w:asciiTheme="minorHAnsi" w:hAnsiTheme="minorHAnsi" w:cstheme="minorHAnsi"/>
          <w:sz w:val="24"/>
          <w:szCs w:val="24"/>
        </w:rPr>
      </w:pPr>
      <w:r w:rsidRPr="00252CAB">
        <w:rPr>
          <w:rFonts w:asciiTheme="minorHAnsi" w:hAnsiTheme="minorHAnsi" w:cstheme="minorHAnsi"/>
          <w:sz w:val="24"/>
          <w:szCs w:val="24"/>
        </w:rPr>
        <w:t>O regime de execução contratual, os modelos de gestão e de execução, assim como os prazos e condições de conclusão, entrega, observação e recebimento do objeto constam no Termo de Referência</w:t>
      </w:r>
      <w:r>
        <w:rPr>
          <w:rFonts w:asciiTheme="minorHAnsi" w:hAnsiTheme="minorHAnsi" w:cstheme="minorHAnsi"/>
          <w:sz w:val="24"/>
          <w:szCs w:val="24"/>
        </w:rPr>
        <w:t>.</w:t>
      </w:r>
    </w:p>
    <w:p w14:paraId="75039D85" w14:textId="77777777" w:rsidR="002C6D67" w:rsidRPr="008E1692" w:rsidRDefault="002C6D67" w:rsidP="002C6D67">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8E1692">
        <w:rPr>
          <w:rFonts w:asciiTheme="minorHAnsi" w:hAnsiTheme="minorHAnsi" w:cstheme="minorHAnsi"/>
          <w:b/>
          <w:bCs/>
          <w:sz w:val="24"/>
          <w:szCs w:val="24"/>
        </w:rPr>
        <w:t>Cláusula Sexta – Local de instalação e prestação dos serviços</w:t>
      </w:r>
    </w:p>
    <w:p w14:paraId="26BEF160" w14:textId="77777777" w:rsidR="002C6D67" w:rsidRPr="0024415C" w:rsidRDefault="002C6D67" w:rsidP="002C6D67">
      <w:pPr>
        <w:pStyle w:val="ListParagraph"/>
        <w:numPr>
          <w:ilvl w:val="1"/>
          <w:numId w:val="1"/>
        </w:numPr>
        <w:spacing w:after="240" w:line="259" w:lineRule="auto"/>
        <w:contextualSpacing w:val="0"/>
        <w:jc w:val="both"/>
        <w:rPr>
          <w:rFonts w:asciiTheme="minorHAnsi" w:hAnsiTheme="minorHAnsi" w:cstheme="minorHAnsi"/>
          <w:sz w:val="24"/>
          <w:szCs w:val="24"/>
        </w:rPr>
      </w:pPr>
      <w:r w:rsidRPr="001877D6">
        <w:rPr>
          <w:rFonts w:asciiTheme="minorHAnsi" w:hAnsiTheme="minorHAnsi" w:cstheme="minorHAnsi"/>
          <w:color w:val="000000"/>
          <w:sz w:val="24"/>
          <w:szCs w:val="24"/>
        </w:rPr>
        <w:t xml:space="preserve">A empresa vencedora do Pregão </w:t>
      </w:r>
      <w:r>
        <w:rPr>
          <w:rFonts w:asciiTheme="minorHAnsi" w:hAnsiTheme="minorHAnsi" w:cstheme="minorHAnsi"/>
          <w:color w:val="000000"/>
          <w:sz w:val="24"/>
          <w:szCs w:val="24"/>
        </w:rPr>
        <w:t xml:space="preserve">deverá entregar os materiais no prédio Principal desta Casa de Leis, na Rua do Alferes José Caetano, 834, </w:t>
      </w:r>
      <w:r w:rsidRPr="001877D6">
        <w:rPr>
          <w:rFonts w:asciiTheme="minorHAnsi" w:hAnsiTheme="minorHAnsi" w:cstheme="minorHAnsi"/>
          <w:color w:val="000000"/>
          <w:sz w:val="24"/>
          <w:szCs w:val="24"/>
        </w:rPr>
        <w:t>neste Município de Piracicaba, Estado de São Paulo</w:t>
      </w:r>
      <w:r>
        <w:rPr>
          <w:rFonts w:asciiTheme="minorHAnsi" w:hAnsiTheme="minorHAnsi" w:cstheme="minorHAnsi"/>
          <w:color w:val="000000"/>
          <w:sz w:val="24"/>
          <w:szCs w:val="24"/>
        </w:rPr>
        <w:t>.</w:t>
      </w:r>
    </w:p>
    <w:p w14:paraId="063EC5AC" w14:textId="77777777" w:rsidR="002C6D67" w:rsidRPr="0024415C" w:rsidRDefault="002C6D67" w:rsidP="002C6D67">
      <w:pPr>
        <w:pStyle w:val="ListParagraph"/>
        <w:numPr>
          <w:ilvl w:val="1"/>
          <w:numId w:val="1"/>
        </w:numPr>
        <w:spacing w:after="240" w:line="259" w:lineRule="auto"/>
        <w:contextualSpacing w:val="0"/>
        <w:jc w:val="both"/>
        <w:rPr>
          <w:rFonts w:asciiTheme="minorHAnsi" w:hAnsiTheme="minorHAnsi" w:cstheme="minorHAnsi"/>
          <w:sz w:val="24"/>
          <w:szCs w:val="24"/>
        </w:rPr>
      </w:pPr>
      <w:r>
        <w:rPr>
          <w:rFonts w:asciiTheme="minorHAnsi" w:hAnsiTheme="minorHAnsi" w:cstheme="minorHAnsi"/>
          <w:color w:val="000000"/>
          <w:sz w:val="24"/>
          <w:szCs w:val="24"/>
        </w:rPr>
        <w:t>A empresa contratada deverá atender os prazos de início de execução previstos no Termo de Referência.</w:t>
      </w:r>
    </w:p>
    <w:p w14:paraId="31320A23" w14:textId="77777777" w:rsidR="002C6D67" w:rsidRPr="00E96C91" w:rsidRDefault="002C6D67" w:rsidP="002C6D67">
      <w:pPr>
        <w:pStyle w:val="ListParagraph"/>
        <w:numPr>
          <w:ilvl w:val="0"/>
          <w:numId w:val="1"/>
        </w:numPr>
        <w:spacing w:after="240" w:line="259" w:lineRule="auto"/>
        <w:contextualSpacing w:val="0"/>
        <w:jc w:val="both"/>
        <w:rPr>
          <w:rFonts w:asciiTheme="minorHAnsi" w:hAnsiTheme="minorHAnsi" w:cstheme="minorHAnsi"/>
          <w:b/>
          <w:bCs/>
          <w:sz w:val="24"/>
          <w:szCs w:val="24"/>
        </w:rPr>
      </w:pPr>
      <w:r w:rsidRPr="008443F3">
        <w:rPr>
          <w:rFonts w:asciiTheme="minorHAnsi" w:hAnsiTheme="minorHAnsi" w:cstheme="minorHAnsi"/>
          <w:b/>
          <w:bCs/>
          <w:sz w:val="24"/>
          <w:szCs w:val="24"/>
        </w:rPr>
        <w:t>Cláusula Sétima – Pagamento</w:t>
      </w:r>
    </w:p>
    <w:p w14:paraId="67BBB276" w14:textId="77777777" w:rsidR="002C6D67" w:rsidRPr="00E96C91" w:rsidRDefault="002C6D67" w:rsidP="002C6D67">
      <w:pPr>
        <w:pStyle w:val="ListParagraph"/>
        <w:numPr>
          <w:ilvl w:val="1"/>
          <w:numId w:val="1"/>
        </w:numPr>
        <w:jc w:val="both"/>
        <w:rPr>
          <w:rFonts w:asciiTheme="minorHAnsi" w:hAnsiTheme="minorHAnsi" w:cstheme="minorHAnsi"/>
          <w:sz w:val="24"/>
          <w:szCs w:val="24"/>
        </w:rPr>
      </w:pPr>
      <w:r w:rsidRPr="00E96C91">
        <w:rPr>
          <w:rFonts w:asciiTheme="minorHAnsi" w:hAnsiTheme="minorHAnsi" w:cstheme="minorHAnsi"/>
          <w:sz w:val="24"/>
          <w:szCs w:val="24"/>
        </w:rPr>
        <w:lastRenderedPageBreak/>
        <w:t>6.1.</w:t>
      </w:r>
      <w:r w:rsidRPr="00E96C91">
        <w:rPr>
          <w:rFonts w:asciiTheme="minorHAnsi" w:hAnsiTheme="minorHAnsi" w:cstheme="minorHAnsi"/>
          <w:sz w:val="24"/>
          <w:szCs w:val="24"/>
        </w:rPr>
        <w:tab/>
        <w:t>O prazo para pagamento ao contratado e demais condições a ele referentes encontram-se definidos no Termo de Referência</w:t>
      </w:r>
      <w:r w:rsidRPr="008D0EA2">
        <w:rPr>
          <w:rFonts w:asciiTheme="minorHAnsi" w:hAnsiTheme="minorHAnsi" w:cstheme="minorHAnsi"/>
          <w:sz w:val="24"/>
          <w:szCs w:val="24"/>
        </w:rPr>
        <w:t>.</w:t>
      </w:r>
    </w:p>
    <w:p w14:paraId="26BA393A" w14:textId="77777777" w:rsidR="002C6D67" w:rsidRPr="008E1692" w:rsidRDefault="002C6D67" w:rsidP="002C6D67">
      <w:pPr>
        <w:pStyle w:val="ListParagraph"/>
        <w:rPr>
          <w:rFonts w:asciiTheme="minorHAnsi" w:hAnsiTheme="minorHAnsi" w:cstheme="minorHAnsi"/>
          <w:sz w:val="24"/>
          <w:szCs w:val="24"/>
        </w:rPr>
      </w:pPr>
    </w:p>
    <w:p w14:paraId="5132302C" w14:textId="77777777" w:rsidR="002C6D67" w:rsidRPr="008443F3" w:rsidRDefault="002C6D67" w:rsidP="002C6D67">
      <w:pPr>
        <w:pStyle w:val="ListParagraph"/>
        <w:numPr>
          <w:ilvl w:val="0"/>
          <w:numId w:val="1"/>
        </w:numPr>
        <w:spacing w:after="240"/>
        <w:ind w:left="357" w:hanging="357"/>
        <w:contextualSpacing w:val="0"/>
        <w:jc w:val="both"/>
        <w:rPr>
          <w:rFonts w:asciiTheme="minorHAnsi" w:hAnsiTheme="minorHAnsi" w:cstheme="minorHAnsi"/>
          <w:b/>
          <w:bCs/>
          <w:sz w:val="24"/>
          <w:szCs w:val="24"/>
        </w:rPr>
      </w:pPr>
      <w:r w:rsidRPr="008443F3">
        <w:rPr>
          <w:rFonts w:asciiTheme="minorHAnsi" w:hAnsiTheme="minorHAnsi" w:cstheme="minorHAnsi"/>
          <w:b/>
          <w:bCs/>
          <w:sz w:val="24"/>
          <w:szCs w:val="24"/>
        </w:rPr>
        <w:t>Cláusula Oitava – Reajuste</w:t>
      </w:r>
    </w:p>
    <w:p w14:paraId="0D6EFA7A" w14:textId="77777777" w:rsidR="002C6D67" w:rsidRPr="00E96C91" w:rsidRDefault="002C6D67" w:rsidP="002C6D67">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Os preços contratuais serão reajustados, observada a periodicidade anual que terá como termo inicial a data do orçamento estimado, desde que não ultrapasse o valor praticado no mercado.</w:t>
      </w:r>
    </w:p>
    <w:p w14:paraId="758BE2C6" w14:textId="77777777" w:rsidR="002C6D67" w:rsidRPr="00E96C91" w:rsidRDefault="002C6D67" w:rsidP="002C6D67">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 xml:space="preserve">O índice de reajuste será o </w:t>
      </w:r>
      <w:r>
        <w:rPr>
          <w:rFonts w:ascii="Calibri" w:hAnsi="Calibri" w:cs="Calibri"/>
          <w:sz w:val="24"/>
          <w:szCs w:val="24"/>
        </w:rPr>
        <w:t>INPC-IBGE</w:t>
      </w:r>
    </w:p>
    <w:p w14:paraId="1287B893" w14:textId="77777777" w:rsidR="002C6D67" w:rsidRPr="00E96C91" w:rsidRDefault="002C6D67" w:rsidP="002C6D67">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Eventuais diferenças entre o índice geral de inflação efetivo e aquele acordado na cláusula não geram, por si só, direito ao reequilíbrio econômico-financeiro do contrato.</w:t>
      </w:r>
    </w:p>
    <w:p w14:paraId="7BC08F94" w14:textId="77777777" w:rsidR="002C6D67" w:rsidRPr="00E96C91" w:rsidRDefault="002C6D67" w:rsidP="002C6D67">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Caso o índice estabelecido para reajustamento venha a ser extinto, será adotado, em substituição, o que vier a ser determinado pela legislação então em vigor.</w:t>
      </w:r>
    </w:p>
    <w:p w14:paraId="2551191A" w14:textId="77777777" w:rsidR="002C6D67" w:rsidRPr="00E96C91" w:rsidRDefault="002C6D67" w:rsidP="002C6D67">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Fica vedado qualquer novo reajuste pelo prazo de 1 (um) ano.</w:t>
      </w:r>
    </w:p>
    <w:p w14:paraId="333CC97F" w14:textId="77777777" w:rsidR="002C6D67" w:rsidRDefault="002C6D67" w:rsidP="002C6D67">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As hipóteses excepcionais ou de revisão de preços serão tratadas de acordo com a legislação vigente e exigirão detida análise econômica para avaliação de eventual desequilíbrio econômico-financeiro do contrato</w:t>
      </w:r>
    </w:p>
    <w:p w14:paraId="3E0AD8D1" w14:textId="77777777" w:rsidR="002C6D67" w:rsidRPr="008443F3" w:rsidRDefault="002C6D67" w:rsidP="002C6D67">
      <w:pPr>
        <w:pStyle w:val="ListParagraph"/>
        <w:rPr>
          <w:rFonts w:ascii="Calibri" w:hAnsi="Calibri" w:cs="Calibri"/>
          <w:sz w:val="24"/>
          <w:szCs w:val="24"/>
        </w:rPr>
      </w:pPr>
    </w:p>
    <w:p w14:paraId="412C8EEF" w14:textId="77777777" w:rsidR="002C6D67" w:rsidRPr="008443F3" w:rsidRDefault="002C6D67" w:rsidP="002C6D67">
      <w:pPr>
        <w:pStyle w:val="ListParagraph"/>
        <w:numPr>
          <w:ilvl w:val="0"/>
          <w:numId w:val="1"/>
        </w:numPr>
        <w:jc w:val="both"/>
        <w:rPr>
          <w:rFonts w:ascii="Calibri" w:hAnsi="Calibri" w:cs="Calibri"/>
          <w:b/>
          <w:bCs/>
          <w:sz w:val="24"/>
          <w:szCs w:val="24"/>
        </w:rPr>
      </w:pPr>
      <w:r w:rsidRPr="008443F3">
        <w:rPr>
          <w:rFonts w:ascii="Calibri" w:hAnsi="Calibri" w:cs="Calibri"/>
          <w:b/>
          <w:bCs/>
          <w:sz w:val="24"/>
          <w:szCs w:val="24"/>
        </w:rPr>
        <w:t xml:space="preserve">Cláusula Nona – </w:t>
      </w:r>
      <w:r>
        <w:rPr>
          <w:rFonts w:ascii="Calibri" w:hAnsi="Calibri" w:cs="Calibri"/>
          <w:b/>
          <w:bCs/>
          <w:sz w:val="24"/>
          <w:szCs w:val="24"/>
        </w:rPr>
        <w:t>Extinção Contratual</w:t>
      </w:r>
    </w:p>
    <w:p w14:paraId="65744BD3" w14:textId="77777777" w:rsidR="002C6D67" w:rsidRPr="008443F3" w:rsidRDefault="002C6D67" w:rsidP="002C6D67">
      <w:pPr>
        <w:pStyle w:val="ListParagraph"/>
        <w:rPr>
          <w:rFonts w:ascii="Calibri" w:hAnsi="Calibri" w:cs="Calibri"/>
          <w:sz w:val="24"/>
          <w:szCs w:val="24"/>
        </w:rPr>
      </w:pPr>
    </w:p>
    <w:p w14:paraId="398DD829" w14:textId="77777777" w:rsidR="002C6D67" w:rsidRPr="00E96C91" w:rsidRDefault="002C6D67" w:rsidP="002C6D67">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O contrato será extinto quando cumpridas as obrigações de ambas as partes, ainda que isso ocorra antes do prazo estipulado para tanto.</w:t>
      </w:r>
    </w:p>
    <w:p w14:paraId="11AA7610" w14:textId="77777777" w:rsidR="002C6D67" w:rsidRPr="00E96C91" w:rsidRDefault="002C6D67" w:rsidP="002C6D67">
      <w:pPr>
        <w:pStyle w:val="ListParagraph"/>
        <w:numPr>
          <w:ilvl w:val="1"/>
          <w:numId w:val="1"/>
        </w:numPr>
        <w:spacing w:after="240"/>
        <w:ind w:left="788" w:hanging="431"/>
        <w:contextualSpacing w:val="0"/>
        <w:jc w:val="both"/>
        <w:rPr>
          <w:rFonts w:ascii="Calibri" w:hAnsi="Calibri" w:cs="Calibri"/>
          <w:sz w:val="24"/>
          <w:szCs w:val="24"/>
        </w:rPr>
      </w:pPr>
      <w:r w:rsidRPr="00E96C91">
        <w:rPr>
          <w:rFonts w:ascii="Calibri" w:hAnsi="Calibri" w:cs="Calibri"/>
          <w:sz w:val="24"/>
          <w:szCs w:val="24"/>
        </w:rPr>
        <w:t>Se as obrigações não forem cumpridas no prazo estipulado, a vigência ficará prorrogada até a conclusão do objeto, caso em que deverá a Administração providenciar a readequação do cronograma fixado para o contrato.</w:t>
      </w:r>
    </w:p>
    <w:p w14:paraId="537FFD22" w14:textId="77777777" w:rsidR="002C6D67" w:rsidRPr="00E96C91" w:rsidRDefault="002C6D67" w:rsidP="002C6D67">
      <w:pPr>
        <w:pStyle w:val="ListParagraph"/>
        <w:numPr>
          <w:ilvl w:val="1"/>
          <w:numId w:val="1"/>
        </w:numPr>
        <w:spacing w:after="240"/>
        <w:contextualSpacing w:val="0"/>
        <w:jc w:val="both"/>
        <w:rPr>
          <w:rFonts w:ascii="Calibri" w:hAnsi="Calibri" w:cs="Calibri"/>
          <w:sz w:val="24"/>
          <w:szCs w:val="24"/>
        </w:rPr>
      </w:pPr>
      <w:r w:rsidRPr="00E96C91">
        <w:rPr>
          <w:rFonts w:ascii="Calibri" w:hAnsi="Calibri" w:cs="Calibri"/>
          <w:sz w:val="24"/>
          <w:szCs w:val="24"/>
        </w:rPr>
        <w:t>Quando a não conclusão do contrato referida no item anterior decorrer de culpa do contratado:</w:t>
      </w:r>
    </w:p>
    <w:p w14:paraId="701ED977" w14:textId="77777777" w:rsidR="002C6D67" w:rsidRPr="00E96C91" w:rsidRDefault="002C6D67" w:rsidP="002C6D67">
      <w:pPr>
        <w:pStyle w:val="ListParagraph"/>
        <w:numPr>
          <w:ilvl w:val="2"/>
          <w:numId w:val="1"/>
        </w:numPr>
        <w:spacing w:after="240"/>
        <w:contextualSpacing w:val="0"/>
        <w:jc w:val="both"/>
        <w:rPr>
          <w:rFonts w:ascii="Calibri" w:hAnsi="Calibri" w:cs="Calibri"/>
          <w:sz w:val="24"/>
          <w:szCs w:val="24"/>
        </w:rPr>
      </w:pPr>
      <w:r w:rsidRPr="00E96C91">
        <w:rPr>
          <w:rFonts w:ascii="Calibri" w:hAnsi="Calibri" w:cs="Calibri"/>
          <w:sz w:val="24"/>
          <w:szCs w:val="24"/>
        </w:rPr>
        <w:t xml:space="preserve">ficará ele constituído em mora, sendo-lhe aplicáveis as respectivas sanções administrativas; e  </w:t>
      </w:r>
    </w:p>
    <w:p w14:paraId="6A899B72" w14:textId="77777777" w:rsidR="002C6D67" w:rsidRPr="00E96C91" w:rsidRDefault="002C6D67" w:rsidP="002C6D67">
      <w:pPr>
        <w:pStyle w:val="ListParagraph"/>
        <w:numPr>
          <w:ilvl w:val="2"/>
          <w:numId w:val="1"/>
        </w:numPr>
        <w:spacing w:after="240"/>
        <w:contextualSpacing w:val="0"/>
        <w:jc w:val="both"/>
        <w:rPr>
          <w:rFonts w:ascii="Calibri" w:hAnsi="Calibri" w:cs="Calibri"/>
          <w:sz w:val="24"/>
          <w:szCs w:val="24"/>
        </w:rPr>
      </w:pPr>
      <w:r w:rsidRPr="00E96C91">
        <w:rPr>
          <w:rFonts w:ascii="Calibri" w:hAnsi="Calibri" w:cs="Calibri"/>
          <w:sz w:val="24"/>
          <w:szCs w:val="24"/>
        </w:rPr>
        <w:t>poderá a Administração optar pela extinção do contrato e, nesse caso, adotará as medidas admitidas em lei para a continuidade da execução contratual</w:t>
      </w:r>
    </w:p>
    <w:p w14:paraId="3C1D4FF0" w14:textId="77777777" w:rsidR="002C6D67" w:rsidRPr="008443F3" w:rsidRDefault="002C6D67" w:rsidP="002C6D67">
      <w:pPr>
        <w:pStyle w:val="ListParagraph"/>
        <w:numPr>
          <w:ilvl w:val="0"/>
          <w:numId w:val="1"/>
        </w:numPr>
        <w:spacing w:after="240"/>
        <w:contextualSpacing w:val="0"/>
        <w:jc w:val="both"/>
        <w:rPr>
          <w:rFonts w:ascii="Calibri" w:hAnsi="Calibri" w:cs="Calibri"/>
          <w:b/>
          <w:bCs/>
          <w:sz w:val="24"/>
          <w:szCs w:val="24"/>
        </w:rPr>
      </w:pPr>
      <w:r w:rsidRPr="008443F3">
        <w:rPr>
          <w:rFonts w:ascii="Calibri" w:hAnsi="Calibri" w:cs="Calibri"/>
          <w:b/>
          <w:bCs/>
          <w:sz w:val="24"/>
          <w:szCs w:val="24"/>
        </w:rPr>
        <w:t xml:space="preserve">Cláusula Décima – </w:t>
      </w:r>
      <w:r>
        <w:rPr>
          <w:rFonts w:ascii="Calibri" w:hAnsi="Calibri" w:cs="Calibri"/>
          <w:b/>
          <w:bCs/>
          <w:sz w:val="24"/>
          <w:szCs w:val="24"/>
        </w:rPr>
        <w:t>Casos Omissos</w:t>
      </w:r>
    </w:p>
    <w:p w14:paraId="4B9076C4" w14:textId="77777777" w:rsidR="002C6D67" w:rsidRDefault="002C6D67" w:rsidP="002C6D67">
      <w:pPr>
        <w:pStyle w:val="ListParagraph"/>
        <w:numPr>
          <w:ilvl w:val="1"/>
          <w:numId w:val="1"/>
        </w:numPr>
        <w:spacing w:after="240"/>
        <w:contextualSpacing w:val="0"/>
        <w:jc w:val="both"/>
        <w:rPr>
          <w:rFonts w:ascii="Calibri" w:hAnsi="Calibri" w:cs="Calibri"/>
          <w:sz w:val="24"/>
          <w:szCs w:val="24"/>
        </w:rPr>
      </w:pPr>
      <w:r>
        <w:rPr>
          <w:rFonts w:ascii="Calibri" w:hAnsi="Calibri" w:cs="Calibri"/>
          <w:sz w:val="24"/>
          <w:szCs w:val="24"/>
        </w:rPr>
        <w:lastRenderedPageBreak/>
        <w:t xml:space="preserve">Os </w:t>
      </w:r>
      <w:r w:rsidRPr="00F62681">
        <w:rPr>
          <w:rFonts w:ascii="Calibri" w:hAnsi="Calibri" w:cs="Calibri"/>
          <w:sz w:val="24"/>
          <w:szCs w:val="24"/>
        </w:rPr>
        <w:t>casos omissos serão decididos pelo contratante, segundo as disposições contidas na Lei nº 14.133, de 2021, demais normas aplicáveis e, subsidiariamente, segundo normas e princípios gerais dos contratos</w:t>
      </w:r>
      <w:r>
        <w:rPr>
          <w:rFonts w:ascii="Calibri" w:hAnsi="Calibri" w:cs="Calibri"/>
          <w:sz w:val="24"/>
          <w:szCs w:val="24"/>
        </w:rPr>
        <w:t>.</w:t>
      </w:r>
    </w:p>
    <w:p w14:paraId="0029091C" w14:textId="77777777" w:rsidR="002C6D67" w:rsidRPr="00F62681" w:rsidRDefault="002C6D67" w:rsidP="002C6D67">
      <w:pPr>
        <w:pStyle w:val="ListParagraph"/>
        <w:numPr>
          <w:ilvl w:val="0"/>
          <w:numId w:val="1"/>
        </w:numPr>
        <w:spacing w:after="240"/>
        <w:contextualSpacing w:val="0"/>
        <w:jc w:val="both"/>
        <w:rPr>
          <w:rFonts w:ascii="Calibri" w:hAnsi="Calibri" w:cs="Calibri"/>
          <w:b/>
          <w:bCs/>
          <w:sz w:val="24"/>
          <w:szCs w:val="24"/>
        </w:rPr>
      </w:pPr>
      <w:r w:rsidRPr="00F62681">
        <w:rPr>
          <w:rFonts w:ascii="Calibri" w:hAnsi="Calibri" w:cs="Calibri"/>
          <w:b/>
          <w:bCs/>
          <w:sz w:val="24"/>
          <w:szCs w:val="24"/>
        </w:rPr>
        <w:t xml:space="preserve">Cláusula Décima Primeira – </w:t>
      </w:r>
      <w:r>
        <w:rPr>
          <w:rFonts w:ascii="Calibri" w:hAnsi="Calibri" w:cs="Calibri"/>
          <w:b/>
          <w:bCs/>
          <w:sz w:val="24"/>
          <w:szCs w:val="24"/>
        </w:rPr>
        <w:t>Publicação</w:t>
      </w:r>
    </w:p>
    <w:p w14:paraId="414F2AB9" w14:textId="77777777" w:rsidR="002C6D67" w:rsidRDefault="002C6D67" w:rsidP="002C6D67">
      <w:pPr>
        <w:pStyle w:val="ListParagraph"/>
        <w:numPr>
          <w:ilvl w:val="1"/>
          <w:numId w:val="1"/>
        </w:numPr>
        <w:spacing w:after="240"/>
        <w:contextualSpacing w:val="0"/>
        <w:jc w:val="both"/>
        <w:rPr>
          <w:rFonts w:ascii="Calibri" w:hAnsi="Calibri" w:cs="Calibri"/>
          <w:sz w:val="24"/>
          <w:szCs w:val="24"/>
        </w:rPr>
      </w:pPr>
      <w:r w:rsidRPr="00930F38">
        <w:rPr>
          <w:rFonts w:ascii="Calibri" w:hAnsi="Calibri" w:cs="Calibri"/>
          <w:sz w:val="24"/>
          <w:szCs w:val="24"/>
        </w:rPr>
        <w:t>Incumbirá ao contratante divulgar o presente instrumento no Portal Nacional de Contratações Públicas (PNCP), na forma prevista no art. 94 da Lei 14.133, de 2021, bem como no respectivo sítio oficial na Internet, em atenção ao art. 91, caput, da Lei n.º 14.133, de 2021, e ao art. 8º, §2º, da Lei n. 12.527, de 2011</w:t>
      </w:r>
      <w:r>
        <w:rPr>
          <w:rFonts w:ascii="Calibri" w:hAnsi="Calibri" w:cs="Calibri"/>
          <w:sz w:val="24"/>
          <w:szCs w:val="24"/>
        </w:rPr>
        <w:t>.</w:t>
      </w:r>
    </w:p>
    <w:p w14:paraId="1526D3DA" w14:textId="77777777" w:rsidR="002C6D67" w:rsidRPr="009D3567" w:rsidRDefault="002C6D67" w:rsidP="002C6D67">
      <w:pPr>
        <w:pStyle w:val="ListParagraph"/>
        <w:numPr>
          <w:ilvl w:val="0"/>
          <w:numId w:val="1"/>
        </w:numPr>
        <w:spacing w:after="240"/>
        <w:contextualSpacing w:val="0"/>
        <w:jc w:val="both"/>
        <w:rPr>
          <w:rFonts w:ascii="Calibri" w:hAnsi="Calibri" w:cs="Calibri"/>
          <w:b/>
          <w:bCs/>
          <w:sz w:val="24"/>
          <w:szCs w:val="24"/>
        </w:rPr>
      </w:pPr>
      <w:r w:rsidRPr="009D3567">
        <w:rPr>
          <w:rFonts w:ascii="Calibri" w:hAnsi="Calibri" w:cs="Calibri"/>
          <w:b/>
          <w:bCs/>
          <w:sz w:val="24"/>
          <w:szCs w:val="24"/>
        </w:rPr>
        <w:t>Cláusula Décima Segunda – Obrigações da Contratante</w:t>
      </w:r>
    </w:p>
    <w:p w14:paraId="0D9A0F7D" w14:textId="77777777" w:rsidR="002C6D67" w:rsidRPr="00F62681" w:rsidRDefault="002C6D67" w:rsidP="002C6D67">
      <w:pPr>
        <w:pStyle w:val="ListParagraph"/>
        <w:autoSpaceDE w:val="0"/>
        <w:autoSpaceDN w:val="0"/>
        <w:adjustRightInd w:val="0"/>
        <w:spacing w:after="240"/>
        <w:ind w:left="360"/>
        <w:contextualSpacing w:val="0"/>
        <w:jc w:val="both"/>
        <w:rPr>
          <w:rFonts w:asciiTheme="minorHAnsi" w:hAnsiTheme="minorHAnsi" w:cstheme="minorHAnsi"/>
          <w:bCs/>
          <w:sz w:val="24"/>
          <w:szCs w:val="24"/>
        </w:rPr>
      </w:pPr>
      <w:r w:rsidRPr="006F3D84">
        <w:rPr>
          <w:rFonts w:asciiTheme="minorHAnsi" w:hAnsiTheme="minorHAnsi" w:cstheme="minorHAnsi"/>
          <w:bCs/>
          <w:sz w:val="24"/>
          <w:szCs w:val="24"/>
        </w:rPr>
        <w:t>São obrigações do Contratante:</w:t>
      </w:r>
    </w:p>
    <w:p w14:paraId="6A50F836" w14:textId="77777777" w:rsidR="002C6D67" w:rsidRDefault="002C6D67" w:rsidP="002C6D67">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6F3D84">
        <w:rPr>
          <w:rFonts w:asciiTheme="minorHAnsi" w:hAnsiTheme="minorHAnsi" w:cstheme="minorHAnsi"/>
          <w:bCs/>
          <w:sz w:val="24"/>
          <w:szCs w:val="24"/>
        </w:rPr>
        <w:t>Exigir o cumprimento de todas as obrigações assumidas pelo Contratado, de acordo com o contrato e seus anexos;</w:t>
      </w:r>
    </w:p>
    <w:p w14:paraId="3F4F2C99" w14:textId="77777777" w:rsidR="002C6D67" w:rsidRDefault="002C6D67" w:rsidP="002C6D67">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Receber o objeto no prazo e condições estabelecidas no Termo de Referência</w:t>
      </w:r>
      <w:r>
        <w:rPr>
          <w:rFonts w:asciiTheme="minorHAnsi" w:hAnsiTheme="minorHAnsi" w:cstheme="minorHAnsi"/>
          <w:bCs/>
          <w:sz w:val="24"/>
          <w:szCs w:val="24"/>
        </w:rPr>
        <w:t>;</w:t>
      </w:r>
    </w:p>
    <w:p w14:paraId="5B6EC285" w14:textId="77777777" w:rsidR="002C6D67" w:rsidRDefault="002C6D67" w:rsidP="002C6D67">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Notificar o Contratado, por escrito, sobre vícios, defeitos ou incorreções verificadas no objeto fornecido, para que seja por ele substituído, reparado ou corrigido, no total ou em parte, às suas expensas</w:t>
      </w:r>
      <w:r>
        <w:rPr>
          <w:rFonts w:asciiTheme="minorHAnsi" w:hAnsiTheme="minorHAnsi" w:cstheme="minorHAnsi"/>
          <w:bCs/>
          <w:sz w:val="24"/>
          <w:szCs w:val="24"/>
        </w:rPr>
        <w:t>;</w:t>
      </w:r>
    </w:p>
    <w:p w14:paraId="43295975" w14:textId="77777777" w:rsidR="002C6D67" w:rsidRDefault="002C6D67" w:rsidP="002C6D67">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Acompanhar e fiscalizar a execução do contrato e o cumprimento das obrigações pelo Contratado</w:t>
      </w:r>
      <w:r>
        <w:rPr>
          <w:rFonts w:asciiTheme="minorHAnsi" w:hAnsiTheme="minorHAnsi" w:cstheme="minorHAnsi"/>
          <w:bCs/>
          <w:sz w:val="24"/>
          <w:szCs w:val="24"/>
        </w:rPr>
        <w:t>;</w:t>
      </w:r>
    </w:p>
    <w:p w14:paraId="2459C1FC" w14:textId="77777777" w:rsidR="002C6D67" w:rsidRDefault="002C6D67" w:rsidP="002C6D67">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Efetuar o pagamento ao Contratado do valor correspondente ao fornecimento do objeto, no prazo, forma e condições estabelecidos no presente Contrato e no Termo de Referência</w:t>
      </w:r>
      <w:r>
        <w:rPr>
          <w:rFonts w:asciiTheme="minorHAnsi" w:hAnsiTheme="minorHAnsi" w:cstheme="minorHAnsi"/>
          <w:bCs/>
          <w:sz w:val="24"/>
          <w:szCs w:val="24"/>
        </w:rPr>
        <w:t>;</w:t>
      </w:r>
    </w:p>
    <w:p w14:paraId="2273AA47" w14:textId="77777777" w:rsidR="002C6D67" w:rsidRDefault="002C6D67" w:rsidP="002C6D67">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Aplicar ao Contratado as sanções previstas na lei e neste Contrato</w:t>
      </w:r>
      <w:r>
        <w:rPr>
          <w:rFonts w:asciiTheme="minorHAnsi" w:hAnsiTheme="minorHAnsi" w:cstheme="minorHAnsi"/>
          <w:bCs/>
          <w:sz w:val="24"/>
          <w:szCs w:val="24"/>
        </w:rPr>
        <w:t>;</w:t>
      </w:r>
    </w:p>
    <w:p w14:paraId="4A583571" w14:textId="77777777" w:rsidR="002C6D67" w:rsidRDefault="002C6D67" w:rsidP="002C6D67">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sidRPr="00F62681">
        <w:rPr>
          <w:rFonts w:asciiTheme="minorHAnsi" w:hAnsiTheme="minorHAnsi" w:cstheme="minorHAnsi"/>
          <w:bCs/>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r>
        <w:rPr>
          <w:rFonts w:asciiTheme="minorHAnsi" w:hAnsiTheme="minorHAnsi" w:cstheme="minorHAnsi"/>
          <w:bCs/>
          <w:sz w:val="24"/>
          <w:szCs w:val="24"/>
        </w:rPr>
        <w:t>;</w:t>
      </w:r>
    </w:p>
    <w:p w14:paraId="35070D1D" w14:textId="77777777" w:rsidR="002C6D67" w:rsidRDefault="002C6D67" w:rsidP="002C6D67">
      <w:pPr>
        <w:pStyle w:val="ListParagraph"/>
        <w:numPr>
          <w:ilvl w:val="1"/>
          <w:numId w:val="1"/>
        </w:numPr>
        <w:autoSpaceDE w:val="0"/>
        <w:autoSpaceDN w:val="0"/>
        <w:adjustRightInd w:val="0"/>
        <w:spacing w:after="240"/>
        <w:contextualSpacing w:val="0"/>
        <w:jc w:val="both"/>
        <w:rPr>
          <w:rFonts w:asciiTheme="minorHAnsi" w:hAnsiTheme="minorHAnsi" w:cstheme="minorHAnsi"/>
          <w:bCs/>
          <w:sz w:val="24"/>
          <w:szCs w:val="24"/>
        </w:rPr>
      </w:pPr>
      <w:r>
        <w:rPr>
          <w:rFonts w:asciiTheme="minorHAnsi" w:hAnsiTheme="minorHAnsi" w:cstheme="minorHAnsi"/>
          <w:bCs/>
          <w:sz w:val="24"/>
          <w:szCs w:val="24"/>
        </w:rPr>
        <w:t xml:space="preserve">A </w:t>
      </w:r>
      <w:r w:rsidRPr="00F62681">
        <w:rPr>
          <w:rFonts w:asciiTheme="minorHAnsi" w:hAnsiTheme="minorHAnsi" w:cstheme="minorHAnsi"/>
          <w:bCs/>
          <w:sz w:val="24"/>
          <w:szCs w:val="24"/>
        </w:rPr>
        <w:t>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Pr>
          <w:rFonts w:asciiTheme="minorHAnsi" w:hAnsiTheme="minorHAnsi" w:cstheme="minorHAnsi"/>
          <w:bCs/>
          <w:sz w:val="24"/>
          <w:szCs w:val="24"/>
        </w:rPr>
        <w:t>.</w:t>
      </w:r>
    </w:p>
    <w:p w14:paraId="6A8EDBF0" w14:textId="77777777" w:rsidR="002C6D67" w:rsidRPr="008443F3" w:rsidRDefault="002C6D67" w:rsidP="002C6D67">
      <w:pPr>
        <w:pStyle w:val="ListParagraph"/>
        <w:numPr>
          <w:ilvl w:val="0"/>
          <w:numId w:val="1"/>
        </w:numPr>
        <w:spacing w:after="240"/>
        <w:contextualSpacing w:val="0"/>
        <w:jc w:val="both"/>
        <w:rPr>
          <w:rFonts w:ascii="Calibri" w:hAnsi="Calibri" w:cs="Calibri"/>
          <w:b/>
          <w:bCs/>
          <w:sz w:val="24"/>
          <w:szCs w:val="24"/>
        </w:rPr>
      </w:pPr>
      <w:r w:rsidRPr="008443F3">
        <w:rPr>
          <w:rFonts w:ascii="Calibri" w:hAnsi="Calibri" w:cs="Calibri"/>
          <w:b/>
          <w:bCs/>
          <w:sz w:val="24"/>
          <w:szCs w:val="24"/>
        </w:rPr>
        <w:t xml:space="preserve">Cláusula Décima </w:t>
      </w:r>
      <w:r>
        <w:rPr>
          <w:rFonts w:ascii="Calibri" w:hAnsi="Calibri" w:cs="Calibri"/>
          <w:b/>
          <w:bCs/>
          <w:sz w:val="24"/>
          <w:szCs w:val="24"/>
        </w:rPr>
        <w:t>Terceira</w:t>
      </w:r>
      <w:r w:rsidRPr="008443F3">
        <w:rPr>
          <w:rFonts w:ascii="Calibri" w:hAnsi="Calibri" w:cs="Calibri"/>
          <w:b/>
          <w:bCs/>
          <w:sz w:val="24"/>
          <w:szCs w:val="24"/>
        </w:rPr>
        <w:t xml:space="preserve"> – </w:t>
      </w:r>
      <w:r>
        <w:rPr>
          <w:rFonts w:ascii="Calibri" w:hAnsi="Calibri" w:cs="Calibri"/>
          <w:b/>
          <w:bCs/>
          <w:sz w:val="24"/>
          <w:szCs w:val="24"/>
        </w:rPr>
        <w:t>Obrigações da Contratada</w:t>
      </w:r>
    </w:p>
    <w:p w14:paraId="05986E31" w14:textId="77777777" w:rsidR="002C6D67" w:rsidRPr="005C51E5" w:rsidRDefault="002C6D67" w:rsidP="002C6D67">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Efetuar o fornecimento/execução do objeto, de acordo com as especificações que foram estabelecidas pela Câmara Municipal de Piracicaba;</w:t>
      </w:r>
    </w:p>
    <w:p w14:paraId="43C805C6" w14:textId="77777777" w:rsidR="002C6D67" w:rsidRPr="005C51E5" w:rsidRDefault="002C6D67" w:rsidP="002C6D67">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Arcar com todas e quaisquer despesas, tais como, transporte, entrega e o descarregamento no local determinado, encargos sociais, seguros, tributos diretos e indiretos, incidentes sobre o fornecimento/execução do objeto.</w:t>
      </w:r>
    </w:p>
    <w:p w14:paraId="6B924AB4" w14:textId="77777777" w:rsidR="002C6D67" w:rsidRPr="005C51E5" w:rsidRDefault="002C6D67" w:rsidP="002C6D67">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Responsabilizar-se pelos danos causados diretamente à Administração ou a terceiros, decorrentes de sua culpa ou dolo até o fornecimento/execução do objeto, incluindo as entregas feitas por transportadoras;</w:t>
      </w:r>
    </w:p>
    <w:p w14:paraId="6648CA0F" w14:textId="77777777" w:rsidR="002C6D67" w:rsidRPr="005C51E5" w:rsidRDefault="002C6D67" w:rsidP="002C6D67">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Obedecer às especificações do objeto, observando a qualidade, prazos estabelecidos neste Termo de Referência, bem como a marca, modelo e demais condições constantes da proposta apresentada;</w:t>
      </w:r>
    </w:p>
    <w:p w14:paraId="117C863B" w14:textId="77777777" w:rsidR="002C6D67" w:rsidRPr="005C51E5" w:rsidRDefault="002C6D67" w:rsidP="002C6D67">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Manter todas as condições de habilitação e qualificação exigidas em lei durante a vigência contratual;</w:t>
      </w:r>
    </w:p>
    <w:p w14:paraId="713644AC" w14:textId="77777777" w:rsidR="002C6D67" w:rsidRPr="005C51E5" w:rsidRDefault="002C6D67" w:rsidP="002C6D67">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Designar, formalmente, um representante nos casos em que o ajuste se der por Contrato, com poderes para operacionalizar a execução do ajuste, assumindo o gerenciamento de todas as atividades inerentes ao seu fiel cumprimento;</w:t>
      </w:r>
    </w:p>
    <w:p w14:paraId="49F56003" w14:textId="77777777" w:rsidR="002C6D67" w:rsidRPr="005C51E5" w:rsidRDefault="002C6D67" w:rsidP="002C6D67">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Acatar as recomendações feitas pela fiscalização da Câmara, facilitando a ampla ação desta, com pronto atendimento aos pedidos de esclarecimentos porventura solicitados;</w:t>
      </w:r>
    </w:p>
    <w:p w14:paraId="657131B9" w14:textId="77777777" w:rsidR="002C6D67" w:rsidRPr="005C51E5" w:rsidRDefault="002C6D67" w:rsidP="002C6D67">
      <w:pPr>
        <w:pStyle w:val="ListParagraph"/>
        <w:numPr>
          <w:ilvl w:val="1"/>
          <w:numId w:val="1"/>
        </w:numPr>
        <w:spacing w:before="240" w:after="16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Comunicar, por escrito, qualquer anormalidade verificada na execução do objeto e prestar os esclarecimentos necessários;</w:t>
      </w:r>
    </w:p>
    <w:p w14:paraId="428D6FDB" w14:textId="77777777" w:rsidR="002C6D67" w:rsidRDefault="002C6D67" w:rsidP="002C6D67">
      <w:pPr>
        <w:pStyle w:val="ListParagraph"/>
        <w:numPr>
          <w:ilvl w:val="1"/>
          <w:numId w:val="1"/>
        </w:numPr>
        <w:spacing w:before="240" w:line="259" w:lineRule="auto"/>
        <w:contextualSpacing w:val="0"/>
        <w:jc w:val="both"/>
        <w:rPr>
          <w:rFonts w:asciiTheme="minorHAnsi" w:hAnsiTheme="minorHAnsi" w:cstheme="minorHAnsi"/>
          <w:bCs/>
          <w:sz w:val="24"/>
          <w:szCs w:val="24"/>
        </w:rPr>
      </w:pPr>
      <w:r w:rsidRPr="005C51E5">
        <w:rPr>
          <w:rFonts w:asciiTheme="minorHAnsi" w:hAnsiTheme="minorHAnsi" w:cstheme="minorHAnsi"/>
          <w:bCs/>
          <w:sz w:val="24"/>
          <w:szCs w:val="24"/>
        </w:rPr>
        <w:t>Cumprir todas as disposições constantes neste Termo de Referência, no Edital e seus anexos.</w:t>
      </w:r>
    </w:p>
    <w:p w14:paraId="470902BE" w14:textId="77777777" w:rsidR="002C6D67" w:rsidRPr="00930F38" w:rsidRDefault="002C6D67" w:rsidP="002C6D67">
      <w:pPr>
        <w:pStyle w:val="ListParagraph"/>
        <w:numPr>
          <w:ilvl w:val="1"/>
          <w:numId w:val="1"/>
        </w:numPr>
        <w:spacing w:before="240" w:after="240" w:line="259"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A contratada deverá manter, durante toda a execução do objeto/prazo de vigência contratual, as mesmas condições de habilitação exigidas no certame licitatório.</w:t>
      </w:r>
    </w:p>
    <w:p w14:paraId="3FBB193A" w14:textId="77777777" w:rsidR="002C6D67" w:rsidRPr="008443F3" w:rsidRDefault="002C6D67" w:rsidP="002C6D67">
      <w:pPr>
        <w:pStyle w:val="ListParagraph"/>
        <w:numPr>
          <w:ilvl w:val="0"/>
          <w:numId w:val="1"/>
        </w:numPr>
        <w:spacing w:after="240"/>
        <w:contextualSpacing w:val="0"/>
        <w:jc w:val="both"/>
        <w:rPr>
          <w:rFonts w:ascii="Calibri" w:hAnsi="Calibri" w:cs="Calibri"/>
          <w:b/>
          <w:bCs/>
          <w:sz w:val="24"/>
          <w:szCs w:val="24"/>
        </w:rPr>
      </w:pPr>
      <w:r w:rsidRPr="008443F3">
        <w:rPr>
          <w:rFonts w:ascii="Calibri" w:hAnsi="Calibri" w:cs="Calibri"/>
          <w:b/>
          <w:bCs/>
          <w:sz w:val="24"/>
          <w:szCs w:val="24"/>
        </w:rPr>
        <w:t xml:space="preserve">Cláusula Décima </w:t>
      </w:r>
      <w:r>
        <w:rPr>
          <w:rFonts w:ascii="Calibri" w:hAnsi="Calibri" w:cs="Calibri"/>
          <w:b/>
          <w:bCs/>
          <w:sz w:val="24"/>
          <w:szCs w:val="24"/>
        </w:rPr>
        <w:t>Quarta</w:t>
      </w:r>
      <w:r w:rsidRPr="008443F3">
        <w:rPr>
          <w:rFonts w:ascii="Calibri" w:hAnsi="Calibri" w:cs="Calibri"/>
          <w:b/>
          <w:bCs/>
          <w:sz w:val="24"/>
          <w:szCs w:val="24"/>
        </w:rPr>
        <w:t xml:space="preserve"> – Sanções Administrativas</w:t>
      </w:r>
    </w:p>
    <w:p w14:paraId="07C3969F" w14:textId="77777777" w:rsidR="002C6D67" w:rsidRPr="00730E7C" w:rsidRDefault="002C6D67" w:rsidP="002C6D67">
      <w:pPr>
        <w:numPr>
          <w:ilvl w:val="1"/>
          <w:numId w:val="1"/>
        </w:numPr>
        <w:suppressAutoHyphens/>
        <w:spacing w:before="240" w:line="276" w:lineRule="auto"/>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O licitante ou o contratado será responsabilizado administrativamente pelas seguintes infrações:</w:t>
      </w:r>
    </w:p>
    <w:p w14:paraId="75760F5A"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 - Dar causa à inexecução parcial ou total do ajuste;</w:t>
      </w:r>
    </w:p>
    <w:p w14:paraId="4D37D55F"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II - Dar causa à inexecução parcial do ajuste que cause grave dano à Administração, ao funcionamento dos serviços públicos ou ao interesse coletivo;</w:t>
      </w:r>
    </w:p>
    <w:p w14:paraId="72018A15"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III - deixar de entregar a documentação exigida para o certame;</w:t>
      </w:r>
    </w:p>
    <w:p w14:paraId="401B2909"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IV - Não manter a proposta, salvo em decorrência de fato superveniente devidamente justificado;</w:t>
      </w:r>
    </w:p>
    <w:p w14:paraId="6D021D34"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V - Não celebrar o ajuste ou não entregar a documentação exigida, quando convocado dentro do prazo de validade de sua proposta;</w:t>
      </w:r>
    </w:p>
    <w:p w14:paraId="0527330E"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VI - Ensejar o retardamento da execução ou da entrega do objeto sem motivo justificado;</w:t>
      </w:r>
    </w:p>
    <w:p w14:paraId="4BDE4793"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VII - apresentar declaração ou documentação falsa exigida para o certame ou prestar declaração falsa durante o processo ou a execução do ajuste;</w:t>
      </w:r>
    </w:p>
    <w:p w14:paraId="296CA1AE"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VIII - fraudar o processo de contratação ou praticar ato fraudulento na execução do ajuste;</w:t>
      </w:r>
    </w:p>
    <w:p w14:paraId="47834A6E"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IX - Comportar-se de modo inidôneo ou cometer fraude de qualquer natureza;</w:t>
      </w:r>
    </w:p>
    <w:p w14:paraId="12CB3CF9"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X - Praticar atos ilícitos com vistas a frustrar os objetivos da contratação;</w:t>
      </w:r>
    </w:p>
    <w:p w14:paraId="19EEDC39"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XI - praticar ato lesivo previsto no art. 5º da Lei nº 12.846, de 1º de agosto de 2013.</w:t>
      </w:r>
    </w:p>
    <w:p w14:paraId="7B834049" w14:textId="77777777" w:rsidR="002C6D67" w:rsidRPr="00730E7C" w:rsidRDefault="002C6D67" w:rsidP="002C6D67">
      <w:pPr>
        <w:numPr>
          <w:ilvl w:val="1"/>
          <w:numId w:val="1"/>
        </w:numPr>
        <w:suppressAutoHyphens/>
        <w:spacing w:before="240" w:line="276" w:lineRule="auto"/>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 xml:space="preserve">Pela inexecução total ou parcial do objeto desta contratação, a Câmara Municipal de Piracicaba, poderá, garantida a prévia defesa, aplicar à Contratada as seguintes sanções: </w:t>
      </w:r>
    </w:p>
    <w:p w14:paraId="75461898"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 xml:space="preserve">I - Advertência; </w:t>
      </w:r>
    </w:p>
    <w:p w14:paraId="1D2A6499"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 xml:space="preserve">II - Multa de 0,5% (zero vírgula cinco por cento) sobre o valor da aquisição, por dia de atraso e por descumprimento das obrigações estabelecidas neste Termo de Referência, recolhida no prazo máximo de 15 (quinze) dias corridos, uma vez comunicados oficialmente; </w:t>
      </w:r>
    </w:p>
    <w:p w14:paraId="7E621247" w14:textId="77777777" w:rsidR="002C6D67" w:rsidRPr="00730E7C" w:rsidRDefault="002C6D67" w:rsidP="002C6D67">
      <w:pPr>
        <w:suppressAutoHyphens/>
        <w:spacing w:before="240" w:line="276" w:lineRule="auto"/>
        <w:ind w:left="792"/>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 xml:space="preserve">III - Multa de </w:t>
      </w:r>
      <w:r>
        <w:rPr>
          <w:rFonts w:asciiTheme="minorHAnsi" w:eastAsia="LiberationSerif-Bold" w:hAnsiTheme="minorHAnsi" w:cstheme="minorHAnsi"/>
          <w:bCs/>
          <w:color w:val="000000"/>
          <w:sz w:val="24"/>
          <w:szCs w:val="24"/>
          <w:lang w:eastAsia="zh-CN" w:bidi="ar"/>
        </w:rPr>
        <w:t>Até 30% (trinta por cento)</w:t>
      </w:r>
      <w:r w:rsidRPr="00730E7C">
        <w:rPr>
          <w:rFonts w:asciiTheme="minorHAnsi" w:eastAsia="LiberationSerif-Bold" w:hAnsiTheme="minorHAnsi" w:cstheme="minorHAnsi"/>
          <w:bCs/>
          <w:color w:val="000000"/>
          <w:sz w:val="24"/>
          <w:szCs w:val="24"/>
          <w:lang w:eastAsia="zh-CN" w:bidi="ar"/>
        </w:rPr>
        <w:t xml:space="preserve"> sobre o valor da aquisição, no caso de inexecução total ou parcial do ajuste, ou </w:t>
      </w:r>
      <w:r>
        <w:rPr>
          <w:rFonts w:asciiTheme="minorHAnsi" w:eastAsia="LiberationSerif-Bold" w:hAnsiTheme="minorHAnsi" w:cstheme="minorHAnsi"/>
          <w:bCs/>
          <w:color w:val="000000"/>
          <w:sz w:val="24"/>
          <w:szCs w:val="24"/>
          <w:lang w:eastAsia="zh-CN" w:bidi="ar"/>
        </w:rPr>
        <w:t>até 30% (trinta por cento)</w:t>
      </w:r>
      <w:r w:rsidRPr="00730E7C">
        <w:rPr>
          <w:rFonts w:asciiTheme="minorHAnsi" w:eastAsia="LiberationSerif-Bold" w:hAnsiTheme="minorHAnsi" w:cstheme="minorHAnsi"/>
          <w:bCs/>
          <w:color w:val="000000"/>
          <w:sz w:val="24"/>
          <w:szCs w:val="24"/>
          <w:lang w:eastAsia="zh-CN" w:bidi="ar"/>
        </w:rPr>
        <w:t xml:space="preserve"> sobre o valor do preço ofertado, no caso da não manutenção da proposta, recolhida no prazo de 15 (quinze) dias corridos, contado da comunicação oficial, sem embargo de indenização dos prejuízos porventura causados à Câmara Municipal de Piracicaba pela não execução parcial ou total do ajuste; </w:t>
      </w:r>
    </w:p>
    <w:p w14:paraId="13641FB0" w14:textId="77777777" w:rsidR="002C6D67" w:rsidRPr="00730E7C" w:rsidRDefault="002C6D67" w:rsidP="002C6D67">
      <w:pPr>
        <w:numPr>
          <w:ilvl w:val="1"/>
          <w:numId w:val="1"/>
        </w:numPr>
        <w:suppressAutoHyphens/>
        <w:spacing w:before="240" w:line="276" w:lineRule="auto"/>
        <w:jc w:val="both"/>
        <w:rPr>
          <w:rFonts w:asciiTheme="minorHAnsi" w:eastAsia="LiberationSerif-Bold" w:hAnsiTheme="minorHAnsi" w:cstheme="minorHAnsi"/>
          <w:bCs/>
          <w:color w:val="000000"/>
          <w:sz w:val="24"/>
          <w:szCs w:val="24"/>
          <w:lang w:eastAsia="zh-CN" w:bidi="ar"/>
        </w:rPr>
      </w:pPr>
      <w:r w:rsidRPr="00730E7C">
        <w:rPr>
          <w:rFonts w:asciiTheme="minorHAnsi" w:eastAsia="LiberationSerif-Bold" w:hAnsiTheme="minorHAnsi" w:cstheme="minorHAnsi"/>
          <w:bCs/>
          <w:color w:val="000000"/>
          <w:sz w:val="24"/>
          <w:szCs w:val="24"/>
          <w:lang w:eastAsia="zh-CN" w:bidi="ar"/>
        </w:rPr>
        <w:t>As sanções previstas no inciso I poderão ser aplicadas juntamente com as dos incisos II ou III, facultada a defesa prévia do interessado, no respectivo processo, no prazo de 15 (quinze) dias úteis da intimação;</w:t>
      </w:r>
    </w:p>
    <w:p w14:paraId="03205A04" w14:textId="77777777" w:rsidR="002C6D67" w:rsidRPr="008443F3" w:rsidRDefault="002C6D67" w:rsidP="002C6D67">
      <w:pPr>
        <w:pStyle w:val="ListParagraph"/>
        <w:rPr>
          <w:rFonts w:asciiTheme="minorHAnsi" w:hAnsiTheme="minorHAnsi" w:cstheme="minorHAnsi"/>
          <w:sz w:val="24"/>
          <w:szCs w:val="24"/>
        </w:rPr>
      </w:pPr>
    </w:p>
    <w:p w14:paraId="0B29EBFA" w14:textId="77777777" w:rsidR="002C6D67" w:rsidRPr="008443F3" w:rsidRDefault="002C6D67" w:rsidP="002C6D67">
      <w:pPr>
        <w:pStyle w:val="ListParagraph"/>
        <w:numPr>
          <w:ilvl w:val="0"/>
          <w:numId w:val="1"/>
        </w:numPr>
        <w:autoSpaceDE w:val="0"/>
        <w:autoSpaceDN w:val="0"/>
        <w:adjustRightInd w:val="0"/>
        <w:spacing w:after="240"/>
        <w:contextualSpacing w:val="0"/>
        <w:jc w:val="both"/>
        <w:rPr>
          <w:rFonts w:asciiTheme="minorHAnsi" w:hAnsiTheme="minorHAnsi" w:cstheme="minorHAnsi"/>
          <w:b/>
          <w:bCs/>
          <w:sz w:val="24"/>
          <w:szCs w:val="24"/>
        </w:rPr>
      </w:pPr>
      <w:r w:rsidRPr="008443F3">
        <w:rPr>
          <w:rFonts w:asciiTheme="minorHAnsi" w:hAnsiTheme="minorHAnsi" w:cstheme="minorHAnsi"/>
          <w:b/>
          <w:bCs/>
          <w:sz w:val="24"/>
          <w:szCs w:val="24"/>
        </w:rPr>
        <w:t xml:space="preserve">Cláusula Décima </w:t>
      </w:r>
      <w:r>
        <w:rPr>
          <w:rFonts w:asciiTheme="minorHAnsi" w:hAnsiTheme="minorHAnsi" w:cstheme="minorHAnsi"/>
          <w:b/>
          <w:bCs/>
          <w:sz w:val="24"/>
          <w:szCs w:val="24"/>
        </w:rPr>
        <w:t>Quinta</w:t>
      </w:r>
      <w:r w:rsidRPr="008443F3">
        <w:rPr>
          <w:rFonts w:asciiTheme="minorHAnsi" w:hAnsiTheme="minorHAnsi" w:cstheme="minorHAnsi"/>
          <w:b/>
          <w:bCs/>
          <w:sz w:val="24"/>
          <w:szCs w:val="24"/>
        </w:rPr>
        <w:t xml:space="preserve"> – </w:t>
      </w:r>
      <w:r>
        <w:rPr>
          <w:rFonts w:asciiTheme="minorHAnsi" w:hAnsiTheme="minorHAnsi" w:cstheme="minorHAnsi"/>
          <w:b/>
          <w:bCs/>
          <w:sz w:val="24"/>
          <w:szCs w:val="24"/>
        </w:rPr>
        <w:t>Foro</w:t>
      </w:r>
    </w:p>
    <w:p w14:paraId="624E82DA" w14:textId="77777777" w:rsidR="002C6D67" w:rsidRDefault="002C6D67" w:rsidP="002C6D67">
      <w:pPr>
        <w:pStyle w:val="ListParagraph"/>
        <w:numPr>
          <w:ilvl w:val="1"/>
          <w:numId w:val="1"/>
        </w:numPr>
        <w:autoSpaceDE w:val="0"/>
        <w:autoSpaceDN w:val="0"/>
        <w:adjustRightInd w:val="0"/>
        <w:spacing w:after="240"/>
        <w:contextualSpacing w:val="0"/>
        <w:jc w:val="both"/>
        <w:rPr>
          <w:rFonts w:asciiTheme="minorHAnsi" w:hAnsiTheme="minorHAnsi" w:cstheme="minorHAnsi"/>
          <w:sz w:val="24"/>
          <w:szCs w:val="24"/>
        </w:rPr>
      </w:pPr>
      <w:r>
        <w:rPr>
          <w:rFonts w:asciiTheme="minorHAnsi" w:hAnsiTheme="minorHAnsi" w:cstheme="minorHAnsi"/>
          <w:sz w:val="24"/>
          <w:szCs w:val="24"/>
        </w:rPr>
        <w:t>Para todas as questões suscitadas na execução do Contrato, não resolvidas administrativamente, fica eleito o foro da Comarca de Piracicaba, com renúncia expressa de qualquer outro, por mais privilegiado que seja.</w:t>
      </w:r>
    </w:p>
    <w:p w14:paraId="78FEDC65" w14:textId="77777777" w:rsidR="002C6D67" w:rsidRPr="00BB78ED" w:rsidRDefault="002C6D67" w:rsidP="002C6D67">
      <w:pPr>
        <w:pStyle w:val="ListParagraph"/>
        <w:numPr>
          <w:ilvl w:val="0"/>
          <w:numId w:val="1"/>
        </w:numPr>
        <w:autoSpaceDE w:val="0"/>
        <w:autoSpaceDN w:val="0"/>
        <w:adjustRightInd w:val="0"/>
        <w:spacing w:after="240"/>
        <w:contextualSpacing w:val="0"/>
        <w:jc w:val="both"/>
        <w:rPr>
          <w:rFonts w:asciiTheme="minorHAnsi" w:hAnsiTheme="minorHAnsi" w:cstheme="minorHAnsi"/>
          <w:b/>
          <w:bCs/>
          <w:sz w:val="24"/>
          <w:szCs w:val="24"/>
        </w:rPr>
      </w:pPr>
      <w:r w:rsidRPr="00BB78ED">
        <w:rPr>
          <w:rFonts w:asciiTheme="minorHAnsi" w:hAnsiTheme="minorHAnsi" w:cstheme="minorHAnsi"/>
          <w:b/>
          <w:bCs/>
          <w:sz w:val="24"/>
          <w:szCs w:val="24"/>
        </w:rPr>
        <w:t xml:space="preserve">Cláusula Décima </w:t>
      </w:r>
      <w:r>
        <w:rPr>
          <w:rFonts w:asciiTheme="minorHAnsi" w:hAnsiTheme="minorHAnsi" w:cstheme="minorHAnsi"/>
          <w:b/>
          <w:bCs/>
          <w:sz w:val="24"/>
          <w:szCs w:val="24"/>
        </w:rPr>
        <w:t xml:space="preserve">Sexta </w:t>
      </w:r>
      <w:r w:rsidRPr="00BB78ED">
        <w:rPr>
          <w:rFonts w:asciiTheme="minorHAnsi" w:hAnsiTheme="minorHAnsi" w:cstheme="minorHAnsi"/>
          <w:b/>
          <w:bCs/>
          <w:sz w:val="24"/>
          <w:szCs w:val="24"/>
        </w:rPr>
        <w:t>– Lei geral de Proteção de Dados</w:t>
      </w:r>
    </w:p>
    <w:p w14:paraId="6459FF3B" w14:textId="77777777" w:rsidR="002C6D67" w:rsidRPr="00FE6A95" w:rsidRDefault="002C6D67" w:rsidP="002C6D67">
      <w:pPr>
        <w:pStyle w:val="ListParagraph"/>
        <w:numPr>
          <w:ilvl w:val="1"/>
          <w:numId w:val="1"/>
        </w:numPr>
        <w:spacing w:after="240"/>
        <w:contextualSpacing w:val="0"/>
        <w:jc w:val="both"/>
        <w:rPr>
          <w:rFonts w:ascii="Calibri" w:hAnsi="Calibri" w:cs="Calibri"/>
          <w:sz w:val="24"/>
          <w:szCs w:val="24"/>
        </w:rPr>
      </w:pPr>
      <w:r>
        <w:rPr>
          <w:rFonts w:ascii="Calibri" w:hAnsi="Calibri" w:cs="Calibri"/>
          <w:sz w:val="24"/>
          <w:szCs w:val="24"/>
        </w:rPr>
        <w:t>As partes deverão cumprir a Lei Nº 13.709, de 14 de agosto de 2018 (LGDP),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6BA1740A" w14:textId="77777777" w:rsidR="002C6D67" w:rsidRPr="00FE6A95" w:rsidRDefault="002C6D67" w:rsidP="002C6D67">
      <w:pPr>
        <w:pStyle w:val="ListParagraph"/>
        <w:numPr>
          <w:ilvl w:val="1"/>
          <w:numId w:val="1"/>
        </w:numPr>
        <w:spacing w:after="240"/>
        <w:contextualSpacing w:val="0"/>
        <w:jc w:val="both"/>
        <w:rPr>
          <w:rFonts w:ascii="Calibri" w:hAnsi="Calibri" w:cs="Calibri"/>
          <w:sz w:val="24"/>
          <w:szCs w:val="24"/>
        </w:rPr>
      </w:pPr>
      <w:r>
        <w:rPr>
          <w:rFonts w:asciiTheme="minorHAnsi" w:hAnsiTheme="minorHAnsi" w:cstheme="minorHAnsi"/>
          <w:sz w:val="24"/>
          <w:szCs w:val="24"/>
        </w:rPr>
        <w:t>Os ados obtidos somente poderão ser utilizados para as finalidades que justificam seu acesso e de acordo com a boa-fé e com os princípios do art. 6º da LGPD.</w:t>
      </w:r>
    </w:p>
    <w:p w14:paraId="2BED9C45" w14:textId="77777777" w:rsidR="002C6D67" w:rsidRPr="00FE6A95" w:rsidRDefault="002C6D67" w:rsidP="002C6D67">
      <w:pPr>
        <w:pStyle w:val="ListParagraph"/>
        <w:numPr>
          <w:ilvl w:val="1"/>
          <w:numId w:val="1"/>
        </w:numPr>
        <w:spacing w:after="240"/>
        <w:contextualSpacing w:val="0"/>
        <w:jc w:val="both"/>
        <w:rPr>
          <w:rFonts w:ascii="Calibri" w:hAnsi="Calibri" w:cs="Calibri"/>
          <w:sz w:val="24"/>
          <w:szCs w:val="24"/>
        </w:rPr>
      </w:pPr>
      <w:r>
        <w:rPr>
          <w:rFonts w:asciiTheme="minorHAnsi" w:hAnsiTheme="minorHAnsi" w:cstheme="minorHAnsi"/>
          <w:sz w:val="24"/>
          <w:szCs w:val="24"/>
        </w:rPr>
        <w:t>É vedado o compartilhamento com terceiros dos dados obtidos fora das hipóteses permitidas em Lei.</w:t>
      </w:r>
    </w:p>
    <w:p w14:paraId="5590C7A0" w14:textId="77777777" w:rsidR="002C6D67" w:rsidRPr="00930F38" w:rsidRDefault="002C6D67" w:rsidP="002C6D67">
      <w:pPr>
        <w:pStyle w:val="ListParagraph"/>
        <w:numPr>
          <w:ilvl w:val="1"/>
          <w:numId w:val="1"/>
        </w:numPr>
        <w:spacing w:after="240"/>
        <w:contextualSpacing w:val="0"/>
        <w:jc w:val="both"/>
        <w:rPr>
          <w:rFonts w:ascii="Calibri" w:hAnsi="Calibri" w:cs="Calibri"/>
          <w:sz w:val="24"/>
          <w:szCs w:val="24"/>
        </w:rPr>
      </w:pPr>
      <w:r>
        <w:rPr>
          <w:rFonts w:asciiTheme="minorHAnsi" w:hAnsiTheme="minorHAnsi" w:cstheme="minorHAnsi"/>
          <w:sz w:val="24"/>
          <w:szCs w:val="24"/>
        </w:rPr>
        <w:t>É dever dos licitantes orientar e treinar seus empregados sobre os deveres, requisitos e responsabilidades decorrentes da LGPD.</w:t>
      </w:r>
    </w:p>
    <w:p w14:paraId="2E4726AF" w14:textId="77777777" w:rsidR="002C6D67" w:rsidRPr="00930F38" w:rsidRDefault="002C6D67" w:rsidP="002C6D67">
      <w:pPr>
        <w:pStyle w:val="ListParagraph"/>
        <w:numPr>
          <w:ilvl w:val="0"/>
          <w:numId w:val="1"/>
        </w:numPr>
        <w:spacing w:after="240"/>
        <w:contextualSpacing w:val="0"/>
        <w:jc w:val="both"/>
        <w:rPr>
          <w:rFonts w:ascii="Calibri" w:hAnsi="Calibri" w:cs="Calibri"/>
          <w:b/>
          <w:bCs/>
          <w:sz w:val="24"/>
          <w:szCs w:val="24"/>
        </w:rPr>
      </w:pPr>
      <w:r w:rsidRPr="00930F38">
        <w:rPr>
          <w:rFonts w:asciiTheme="minorHAnsi" w:hAnsiTheme="minorHAnsi" w:cstheme="minorHAnsi"/>
          <w:b/>
          <w:bCs/>
          <w:sz w:val="24"/>
          <w:szCs w:val="24"/>
        </w:rPr>
        <w:t>Cláusula Décima Sétima – Alterações</w:t>
      </w:r>
    </w:p>
    <w:p w14:paraId="7AA3CE14" w14:textId="77777777" w:rsidR="002C6D67" w:rsidRPr="00930F38" w:rsidRDefault="002C6D67" w:rsidP="002C6D67">
      <w:pPr>
        <w:pStyle w:val="ListParagraph"/>
        <w:numPr>
          <w:ilvl w:val="1"/>
          <w:numId w:val="1"/>
        </w:numPr>
        <w:spacing w:after="240"/>
        <w:ind w:left="788" w:hanging="431"/>
        <w:contextualSpacing w:val="0"/>
        <w:jc w:val="both"/>
        <w:rPr>
          <w:rFonts w:ascii="Calibri" w:hAnsi="Calibri" w:cs="Calibri"/>
          <w:sz w:val="24"/>
          <w:szCs w:val="24"/>
        </w:rPr>
      </w:pPr>
      <w:r w:rsidRPr="00930F38">
        <w:rPr>
          <w:rFonts w:ascii="Calibri" w:hAnsi="Calibri" w:cs="Calibri"/>
          <w:sz w:val="24"/>
          <w:szCs w:val="24"/>
        </w:rPr>
        <w:t>Eventuais alterações contratuais reger-se-ão pela disciplina dos arts. 124 e seguintes da Lei nº 14.133, de 2021.</w:t>
      </w:r>
    </w:p>
    <w:p w14:paraId="7925D28B" w14:textId="77777777" w:rsidR="002C6D67" w:rsidRDefault="002C6D67" w:rsidP="002C6D67">
      <w:pPr>
        <w:pStyle w:val="ListParagraph"/>
        <w:numPr>
          <w:ilvl w:val="1"/>
          <w:numId w:val="1"/>
        </w:numPr>
        <w:spacing w:after="240"/>
        <w:ind w:left="788" w:hanging="431"/>
        <w:contextualSpacing w:val="0"/>
        <w:jc w:val="both"/>
        <w:rPr>
          <w:rFonts w:ascii="Calibri" w:hAnsi="Calibri" w:cs="Calibri"/>
          <w:sz w:val="24"/>
          <w:szCs w:val="24"/>
        </w:rPr>
      </w:pPr>
      <w:r w:rsidRPr="00930F38">
        <w:rPr>
          <w:rFonts w:ascii="Calibri" w:hAnsi="Calibri" w:cs="Calibri"/>
          <w:sz w:val="24"/>
          <w:szCs w:val="24"/>
        </w:rPr>
        <w:t>O contratado é obrigado a aceitar, nas mesmas condições contratuais, os acréscimos ou supressões que se fizerem necessários, até o limite de 25% (vinte e cinco por cento) do valor inicial atualizado do contrato</w:t>
      </w:r>
      <w:r>
        <w:rPr>
          <w:rFonts w:ascii="Calibri" w:hAnsi="Calibri" w:cs="Calibri"/>
          <w:sz w:val="24"/>
          <w:szCs w:val="24"/>
        </w:rPr>
        <w:t>.</w:t>
      </w:r>
    </w:p>
    <w:p w14:paraId="1B0AE93F" w14:textId="77777777" w:rsidR="002C6D67" w:rsidRDefault="002C6D67" w:rsidP="002C6D67">
      <w:pPr>
        <w:spacing w:after="240"/>
        <w:jc w:val="both"/>
        <w:rPr>
          <w:rFonts w:ascii="Calibri" w:hAnsi="Calibri" w:cs="Calibri"/>
          <w:sz w:val="24"/>
          <w:szCs w:val="24"/>
        </w:rPr>
      </w:pPr>
    </w:p>
    <w:p w14:paraId="4B489ECF" w14:textId="77777777" w:rsidR="002C6D67" w:rsidRDefault="002C6D67" w:rsidP="002C6D67">
      <w:pPr>
        <w:spacing w:after="240"/>
        <w:jc w:val="both"/>
        <w:rPr>
          <w:rFonts w:ascii="Calibri" w:hAnsi="Calibri" w:cs="Calibri"/>
          <w:sz w:val="24"/>
          <w:szCs w:val="24"/>
        </w:rPr>
      </w:pPr>
    </w:p>
    <w:p w14:paraId="19018257" w14:textId="77777777" w:rsidR="002C6D67" w:rsidRDefault="002C6D67" w:rsidP="002C6D67">
      <w:pPr>
        <w:spacing w:after="240"/>
        <w:jc w:val="both"/>
        <w:rPr>
          <w:rFonts w:ascii="Calibri" w:hAnsi="Calibri" w:cs="Calibri"/>
          <w:sz w:val="24"/>
          <w:szCs w:val="24"/>
        </w:rPr>
      </w:pPr>
    </w:p>
    <w:p w14:paraId="02479650" w14:textId="77777777" w:rsidR="002C6D67" w:rsidRPr="002C6D67" w:rsidRDefault="002C6D67" w:rsidP="002C6D67">
      <w:pPr>
        <w:spacing w:after="240"/>
        <w:jc w:val="both"/>
        <w:rPr>
          <w:rFonts w:ascii="Calibri" w:hAnsi="Calibri" w:cs="Calibri"/>
          <w:sz w:val="24"/>
          <w:szCs w:val="24"/>
        </w:rPr>
      </w:pPr>
    </w:p>
    <w:p w14:paraId="3B0B134F" w14:textId="77777777" w:rsidR="002C6D67" w:rsidRDefault="002C6D67" w:rsidP="002C6D67">
      <w:pPr>
        <w:autoSpaceDE w:val="0"/>
        <w:autoSpaceDN w:val="0"/>
        <w:adjustRightInd w:val="0"/>
        <w:spacing w:after="240"/>
        <w:ind w:firstLine="360"/>
        <w:jc w:val="both"/>
        <w:rPr>
          <w:rFonts w:asciiTheme="minorHAnsi" w:hAnsiTheme="minorHAnsi" w:cstheme="minorHAnsi"/>
          <w:sz w:val="24"/>
          <w:szCs w:val="24"/>
        </w:rPr>
      </w:pPr>
      <w:r w:rsidRPr="008443F3">
        <w:rPr>
          <w:rFonts w:asciiTheme="minorHAnsi" w:hAnsiTheme="minorHAnsi" w:cstheme="minorHAnsi"/>
          <w:sz w:val="24"/>
          <w:szCs w:val="24"/>
        </w:rPr>
        <w:t>E por estarem justas e contratadas, as partes assinam o presente instrumento particular de contrato em 0</w:t>
      </w:r>
      <w:r>
        <w:rPr>
          <w:rFonts w:asciiTheme="minorHAnsi" w:hAnsiTheme="minorHAnsi" w:cstheme="minorHAnsi"/>
          <w:sz w:val="24"/>
          <w:szCs w:val="24"/>
        </w:rPr>
        <w:t>2</w:t>
      </w:r>
      <w:r w:rsidRPr="008443F3">
        <w:rPr>
          <w:rFonts w:asciiTheme="minorHAnsi" w:hAnsiTheme="minorHAnsi" w:cstheme="minorHAnsi"/>
          <w:sz w:val="24"/>
          <w:szCs w:val="24"/>
        </w:rPr>
        <w:t xml:space="preserve"> (</w:t>
      </w:r>
      <w:r>
        <w:rPr>
          <w:rFonts w:asciiTheme="minorHAnsi" w:hAnsiTheme="minorHAnsi" w:cstheme="minorHAnsi"/>
          <w:sz w:val="24"/>
          <w:szCs w:val="24"/>
        </w:rPr>
        <w:t>duas</w:t>
      </w:r>
      <w:r w:rsidRPr="008443F3">
        <w:rPr>
          <w:rFonts w:asciiTheme="minorHAnsi" w:hAnsiTheme="minorHAnsi" w:cstheme="minorHAnsi"/>
          <w:sz w:val="24"/>
          <w:szCs w:val="24"/>
        </w:rPr>
        <w:t>) vias de igual teor, forma e efeito, com todas as folhas devidamente rubricadas.</w:t>
      </w:r>
    </w:p>
    <w:p w14:paraId="32F09E6F" w14:textId="77777777" w:rsidR="002C6D67" w:rsidRDefault="002C6D67" w:rsidP="002C6D67">
      <w:pPr>
        <w:autoSpaceDE w:val="0"/>
        <w:autoSpaceDN w:val="0"/>
        <w:adjustRightInd w:val="0"/>
        <w:spacing w:after="240"/>
        <w:ind w:firstLine="360"/>
        <w:jc w:val="both"/>
        <w:rPr>
          <w:rFonts w:asciiTheme="minorHAnsi" w:hAnsiTheme="minorHAnsi" w:cstheme="minorHAnsi"/>
          <w:sz w:val="24"/>
          <w:szCs w:val="24"/>
        </w:rPr>
      </w:pPr>
    </w:p>
    <w:p w14:paraId="53FACEE8" w14:textId="609A2684" w:rsidR="002C6D67" w:rsidRDefault="002C6D67" w:rsidP="002C6D67">
      <w:pPr>
        <w:autoSpaceDE w:val="0"/>
        <w:autoSpaceDN w:val="0"/>
        <w:adjustRightInd w:val="0"/>
        <w:spacing w:after="240"/>
        <w:ind w:firstLine="360"/>
        <w:jc w:val="right"/>
        <w:rPr>
          <w:rFonts w:asciiTheme="minorHAnsi" w:hAnsiTheme="minorHAnsi" w:cstheme="minorHAnsi"/>
          <w:sz w:val="24"/>
          <w:szCs w:val="24"/>
        </w:rPr>
      </w:pPr>
      <w:r>
        <w:rPr>
          <w:rFonts w:asciiTheme="minorHAnsi" w:hAnsiTheme="minorHAnsi" w:cstheme="minorHAnsi"/>
          <w:sz w:val="24"/>
          <w:szCs w:val="24"/>
        </w:rPr>
        <w:t>Piracicaba, 15 de setembro de 2023</w:t>
      </w:r>
    </w:p>
    <w:p w14:paraId="57E0782A" w14:textId="77777777" w:rsidR="002C6D67" w:rsidRDefault="002C6D67" w:rsidP="002C6D67">
      <w:pPr>
        <w:spacing w:after="240"/>
        <w:jc w:val="center"/>
        <w:rPr>
          <w:rFonts w:asciiTheme="minorHAnsi" w:hAnsiTheme="minorHAnsi" w:cstheme="minorHAnsi"/>
          <w:sz w:val="24"/>
          <w:szCs w:val="24"/>
        </w:rPr>
      </w:pPr>
    </w:p>
    <w:p w14:paraId="596ED3F3" w14:textId="77777777" w:rsidR="002C6D67" w:rsidRDefault="002C6D67" w:rsidP="002C6D67">
      <w:pPr>
        <w:jc w:val="center"/>
        <w:rPr>
          <w:rFonts w:asciiTheme="minorHAnsi" w:hAnsiTheme="minorHAnsi" w:cstheme="minorHAnsi"/>
          <w:b/>
          <w:bCs/>
          <w:sz w:val="24"/>
          <w:szCs w:val="24"/>
        </w:rPr>
      </w:pPr>
      <w:r w:rsidRPr="008443F3">
        <w:rPr>
          <w:rFonts w:asciiTheme="minorHAnsi" w:hAnsiTheme="minorHAnsi" w:cstheme="minorHAnsi"/>
          <w:b/>
          <w:bCs/>
          <w:sz w:val="24"/>
          <w:szCs w:val="24"/>
        </w:rPr>
        <w:t>Contratante</w:t>
      </w:r>
    </w:p>
    <w:p w14:paraId="6237C295" w14:textId="00BB7E6B" w:rsidR="002C6D67" w:rsidRDefault="002C6D67" w:rsidP="002C6D67">
      <w:pPr>
        <w:jc w:val="center"/>
        <w:rPr>
          <w:rFonts w:asciiTheme="minorHAnsi" w:hAnsiTheme="minorHAnsi" w:cstheme="minorHAnsi"/>
          <w:b/>
          <w:bCs/>
          <w:sz w:val="24"/>
          <w:szCs w:val="24"/>
        </w:rPr>
      </w:pPr>
      <w:r>
        <w:rPr>
          <w:rFonts w:asciiTheme="minorHAnsi" w:hAnsiTheme="minorHAnsi" w:cstheme="minorHAnsi"/>
          <w:b/>
          <w:bCs/>
          <w:sz w:val="24"/>
          <w:szCs w:val="24"/>
        </w:rPr>
        <w:t>Wagner Alexandre de Oliveira</w:t>
      </w:r>
    </w:p>
    <w:p w14:paraId="392A3D40" w14:textId="172D08A2" w:rsidR="002C6D67" w:rsidRDefault="002C6D67" w:rsidP="002C6D67">
      <w:pPr>
        <w:jc w:val="center"/>
        <w:rPr>
          <w:rFonts w:asciiTheme="minorHAnsi" w:hAnsiTheme="minorHAnsi" w:cstheme="minorHAnsi"/>
          <w:b/>
          <w:bCs/>
          <w:sz w:val="24"/>
          <w:szCs w:val="24"/>
        </w:rPr>
      </w:pPr>
      <w:r>
        <w:rPr>
          <w:rFonts w:asciiTheme="minorHAnsi" w:hAnsiTheme="minorHAnsi" w:cstheme="minorHAnsi"/>
          <w:b/>
          <w:bCs/>
          <w:sz w:val="24"/>
          <w:szCs w:val="24"/>
        </w:rPr>
        <w:t>Câmara Municipal de Piracicaba</w:t>
      </w:r>
    </w:p>
    <w:p w14:paraId="5F06F541" w14:textId="77777777" w:rsidR="002C6D67" w:rsidRDefault="002C6D67" w:rsidP="002C6D67">
      <w:pPr>
        <w:jc w:val="center"/>
        <w:rPr>
          <w:rFonts w:asciiTheme="minorHAnsi" w:hAnsiTheme="minorHAnsi" w:cstheme="minorHAnsi"/>
          <w:b/>
          <w:bCs/>
          <w:sz w:val="24"/>
          <w:szCs w:val="24"/>
        </w:rPr>
      </w:pPr>
    </w:p>
    <w:p w14:paraId="587E9B84" w14:textId="77777777" w:rsidR="002C6D67" w:rsidRDefault="002C6D67" w:rsidP="002C6D67">
      <w:pPr>
        <w:jc w:val="center"/>
        <w:rPr>
          <w:rFonts w:asciiTheme="minorHAnsi" w:hAnsiTheme="minorHAnsi" w:cstheme="minorHAnsi"/>
          <w:b/>
          <w:bCs/>
          <w:sz w:val="24"/>
          <w:szCs w:val="24"/>
        </w:rPr>
      </w:pPr>
    </w:p>
    <w:p w14:paraId="112C3694" w14:textId="77777777" w:rsidR="002C6D67" w:rsidRDefault="002C6D67" w:rsidP="002C6D67">
      <w:pPr>
        <w:jc w:val="center"/>
        <w:rPr>
          <w:rFonts w:asciiTheme="minorHAnsi" w:hAnsiTheme="minorHAnsi" w:cstheme="minorHAnsi"/>
          <w:b/>
          <w:bCs/>
          <w:sz w:val="24"/>
          <w:szCs w:val="24"/>
        </w:rPr>
      </w:pPr>
    </w:p>
    <w:p w14:paraId="695D4F6A" w14:textId="09481D31" w:rsidR="002C6D67" w:rsidRDefault="002C6D67" w:rsidP="002C6D67">
      <w:pPr>
        <w:jc w:val="center"/>
        <w:rPr>
          <w:rFonts w:asciiTheme="minorHAnsi" w:hAnsiTheme="minorHAnsi" w:cstheme="minorHAnsi"/>
          <w:b/>
          <w:bCs/>
          <w:sz w:val="24"/>
          <w:szCs w:val="24"/>
        </w:rPr>
      </w:pPr>
      <w:r>
        <w:rPr>
          <w:rFonts w:asciiTheme="minorHAnsi" w:hAnsiTheme="minorHAnsi" w:cstheme="minorHAnsi"/>
          <w:b/>
          <w:bCs/>
          <w:sz w:val="24"/>
          <w:szCs w:val="24"/>
        </w:rPr>
        <w:t>Contratada</w:t>
      </w:r>
    </w:p>
    <w:p w14:paraId="14F51A5F" w14:textId="790B643A" w:rsidR="002C6D67" w:rsidRDefault="002C6D67" w:rsidP="002C6D67">
      <w:pPr>
        <w:jc w:val="center"/>
        <w:rPr>
          <w:rFonts w:asciiTheme="minorHAnsi" w:hAnsiTheme="minorHAnsi" w:cstheme="minorHAnsi"/>
          <w:b/>
          <w:bCs/>
          <w:sz w:val="24"/>
          <w:szCs w:val="24"/>
        </w:rPr>
      </w:pPr>
      <w:r w:rsidRPr="002C6D67">
        <w:rPr>
          <w:rFonts w:asciiTheme="minorHAnsi" w:hAnsiTheme="minorHAnsi" w:cstheme="minorHAnsi"/>
          <w:b/>
          <w:bCs/>
          <w:sz w:val="24"/>
          <w:szCs w:val="24"/>
        </w:rPr>
        <w:t>Robson Ribeiro Amorim</w:t>
      </w:r>
    </w:p>
    <w:p w14:paraId="359A477E" w14:textId="5C6556F3" w:rsidR="002C6D67" w:rsidRDefault="002C6D67" w:rsidP="002C6D67">
      <w:pPr>
        <w:jc w:val="center"/>
        <w:rPr>
          <w:rFonts w:asciiTheme="minorHAnsi" w:hAnsiTheme="minorHAnsi" w:cstheme="minorHAnsi"/>
          <w:b/>
          <w:bCs/>
          <w:sz w:val="24"/>
          <w:szCs w:val="24"/>
        </w:rPr>
      </w:pPr>
      <w:r w:rsidRPr="002C6D67">
        <w:rPr>
          <w:rFonts w:asciiTheme="minorHAnsi" w:hAnsiTheme="minorHAnsi" w:cstheme="minorHAnsi"/>
          <w:b/>
          <w:bCs/>
          <w:sz w:val="24"/>
          <w:szCs w:val="24"/>
        </w:rPr>
        <w:t>R&amp;R – Equipamentos Eletrônicos LTDA-ME</w:t>
      </w:r>
    </w:p>
    <w:p w14:paraId="4FE4A633" w14:textId="77777777" w:rsidR="002C6D67" w:rsidRPr="008443F3" w:rsidRDefault="002C6D67" w:rsidP="002C6D67">
      <w:pPr>
        <w:spacing w:after="240"/>
        <w:jc w:val="center"/>
        <w:rPr>
          <w:rFonts w:asciiTheme="minorHAnsi" w:hAnsiTheme="minorHAnsi" w:cstheme="minorHAnsi"/>
          <w:b/>
          <w:bCs/>
          <w:sz w:val="24"/>
          <w:szCs w:val="24"/>
        </w:rPr>
      </w:pPr>
    </w:p>
    <w:p w14:paraId="0BC5F250" w14:textId="77777777" w:rsidR="002C6D67" w:rsidRPr="00182879" w:rsidRDefault="002C6D67" w:rsidP="002C6D67">
      <w:pPr>
        <w:spacing w:after="160" w:line="259" w:lineRule="auto"/>
        <w:jc w:val="center"/>
        <w:rPr>
          <w:rFonts w:asciiTheme="minorHAnsi" w:hAnsiTheme="minorHAnsi" w:cstheme="minorHAnsi"/>
          <w:b/>
          <w:bCs/>
          <w:sz w:val="32"/>
          <w:szCs w:val="32"/>
        </w:rPr>
      </w:pPr>
    </w:p>
    <w:p w14:paraId="3C2BFADC" w14:textId="77777777" w:rsidR="00D758F2" w:rsidRDefault="00D758F2"/>
    <w:sectPr w:rsidR="00D758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645F" w14:textId="77777777" w:rsidR="002C6D67" w:rsidRDefault="002C6D67" w:rsidP="002C6D67">
      <w:r>
        <w:separator/>
      </w:r>
    </w:p>
  </w:endnote>
  <w:endnote w:type="continuationSeparator" w:id="0">
    <w:p w14:paraId="559CE4EC" w14:textId="77777777" w:rsidR="002C6D67" w:rsidRDefault="002C6D67" w:rsidP="002C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Serif-Bol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9E81" w14:textId="77777777" w:rsidR="002C6D67" w:rsidRDefault="002C6D67" w:rsidP="002C6D67">
      <w:r>
        <w:separator/>
      </w:r>
    </w:p>
  </w:footnote>
  <w:footnote w:type="continuationSeparator" w:id="0">
    <w:p w14:paraId="5F356108" w14:textId="77777777" w:rsidR="002C6D67" w:rsidRDefault="002C6D67" w:rsidP="002C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CB9" w14:textId="3FF65FA0" w:rsidR="002C6D67" w:rsidRPr="00772005" w:rsidRDefault="002C6D67" w:rsidP="00772005">
    <w:pPr>
      <w:pStyle w:val="Header"/>
      <w:jc w:val="center"/>
      <w:rPr>
        <w:b/>
        <w:sz w:val="40"/>
        <w:szCs w:val="40"/>
      </w:rPr>
    </w:pPr>
    <w:r>
      <w:rPr>
        <w:noProof/>
      </w:rPr>
      <w:drawing>
        <wp:anchor distT="0" distB="0" distL="114300" distR="114300" simplePos="0" relativeHeight="251659264" behindDoc="0" locked="0" layoutInCell="1" allowOverlap="1" wp14:anchorId="6CC28E42" wp14:editId="3BEAF644">
          <wp:simplePos x="0" y="0"/>
          <wp:positionH relativeFrom="column">
            <wp:posOffset>-537210</wp:posOffset>
          </wp:positionH>
          <wp:positionV relativeFrom="paragraph">
            <wp:posOffset>-222885</wp:posOffset>
          </wp:positionV>
          <wp:extent cx="1359535" cy="1019175"/>
          <wp:effectExtent l="0" t="0" r="0" b="9525"/>
          <wp:wrapNone/>
          <wp:docPr id="1398352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1019175"/>
                  </a:xfrm>
                  <a:prstGeom prst="rect">
                    <a:avLst/>
                  </a:prstGeom>
                  <a:noFill/>
                </pic:spPr>
              </pic:pic>
            </a:graphicData>
          </a:graphic>
          <wp14:sizeRelH relativeFrom="margin">
            <wp14:pctWidth>0</wp14:pctWidth>
          </wp14:sizeRelH>
          <wp14:sizeRelV relativeFrom="margin">
            <wp14:pctHeight>0</wp14:pctHeight>
          </wp14:sizeRelV>
        </wp:anchor>
      </w:drawing>
    </w:r>
    <w:r w:rsidRPr="00772005">
      <w:rPr>
        <w:b/>
        <w:sz w:val="40"/>
        <w:szCs w:val="40"/>
      </w:rPr>
      <w:t>Câmara Municipal de Piracicaba</w:t>
    </w:r>
  </w:p>
  <w:p w14:paraId="5235C40F" w14:textId="77777777" w:rsidR="002C6D67" w:rsidRPr="00772005" w:rsidRDefault="002C6D67" w:rsidP="00772005">
    <w:pPr>
      <w:pStyle w:val="Header"/>
      <w:jc w:val="center"/>
      <w:rPr>
        <w:b/>
        <w:sz w:val="28"/>
        <w:szCs w:val="28"/>
      </w:rPr>
    </w:pPr>
    <w:r w:rsidRPr="00772005">
      <w:rPr>
        <w:b/>
        <w:sz w:val="28"/>
        <w:szCs w:val="28"/>
      </w:rPr>
      <w:t>Estado de São Paulo</w:t>
    </w:r>
  </w:p>
  <w:p w14:paraId="73AF6137" w14:textId="77777777" w:rsidR="002C6D67" w:rsidRPr="00772005" w:rsidRDefault="002C6D67" w:rsidP="00772005">
    <w:pPr>
      <w:pStyle w:val="Header"/>
      <w:jc w:val="center"/>
      <w:rPr>
        <w:b/>
        <w:sz w:val="28"/>
        <w:szCs w:val="28"/>
      </w:rPr>
    </w:pPr>
    <w:r w:rsidRPr="00772005">
      <w:rPr>
        <w:b/>
        <w:sz w:val="28"/>
        <w:szCs w:val="28"/>
      </w:rPr>
      <w:t>Departamento Administrativo</w:t>
    </w:r>
  </w:p>
  <w:p w14:paraId="0A286917" w14:textId="77777777" w:rsidR="002C6D67" w:rsidRDefault="002C6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839C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D95174"/>
    <w:multiLevelType w:val="hybridMultilevel"/>
    <w:tmpl w:val="1EF038A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num w:numId="1" w16cid:durableId="1139609240">
    <w:abstractNumId w:val="0"/>
  </w:num>
  <w:num w:numId="2" w16cid:durableId="521280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A3"/>
    <w:rsid w:val="002C6D67"/>
    <w:rsid w:val="004203A3"/>
    <w:rsid w:val="00582281"/>
    <w:rsid w:val="00733DE0"/>
    <w:rsid w:val="008513B3"/>
    <w:rsid w:val="009611D4"/>
    <w:rsid w:val="00D2460A"/>
    <w:rsid w:val="00D758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44398"/>
  <w15:chartTrackingRefBased/>
  <w15:docId w15:val="{D7116188-69E7-4DC7-A1CD-6C1D652E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D67"/>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D67"/>
    <w:pPr>
      <w:tabs>
        <w:tab w:val="center" w:pos="4252"/>
        <w:tab w:val="right" w:pos="8504"/>
      </w:tabs>
    </w:pPr>
  </w:style>
  <w:style w:type="character" w:customStyle="1" w:styleId="HeaderChar">
    <w:name w:val="Header Char"/>
    <w:basedOn w:val="DefaultParagraphFont"/>
    <w:link w:val="Header"/>
    <w:uiPriority w:val="99"/>
    <w:rsid w:val="002C6D67"/>
  </w:style>
  <w:style w:type="paragraph" w:styleId="Footer">
    <w:name w:val="footer"/>
    <w:basedOn w:val="Normal"/>
    <w:link w:val="FooterChar"/>
    <w:uiPriority w:val="99"/>
    <w:unhideWhenUsed/>
    <w:rsid w:val="002C6D67"/>
    <w:pPr>
      <w:tabs>
        <w:tab w:val="center" w:pos="4252"/>
        <w:tab w:val="right" w:pos="8504"/>
      </w:tabs>
    </w:pPr>
  </w:style>
  <w:style w:type="character" w:customStyle="1" w:styleId="FooterChar">
    <w:name w:val="Footer Char"/>
    <w:basedOn w:val="DefaultParagraphFont"/>
    <w:link w:val="Footer"/>
    <w:uiPriority w:val="99"/>
    <w:rsid w:val="002C6D67"/>
  </w:style>
  <w:style w:type="paragraph" w:styleId="ListParagraph">
    <w:name w:val="List Paragraph"/>
    <w:basedOn w:val="Normal"/>
    <w:link w:val="ListParagraphChar"/>
    <w:uiPriority w:val="34"/>
    <w:qFormat/>
    <w:rsid w:val="002C6D67"/>
    <w:pPr>
      <w:ind w:left="720"/>
      <w:contextualSpacing/>
    </w:pPr>
  </w:style>
  <w:style w:type="character" w:customStyle="1" w:styleId="ListParagraphChar">
    <w:name w:val="List Paragraph Char"/>
    <w:link w:val="ListParagraph"/>
    <w:uiPriority w:val="34"/>
    <w:locked/>
    <w:rsid w:val="002C6D67"/>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1941</Words>
  <Characters>10487</Characters>
  <Application>Microsoft Office Word</Application>
  <DocSecurity>0</DocSecurity>
  <Lines>87</Lines>
  <Paragraphs>24</Paragraphs>
  <ScaleCrop>false</ScaleCrop>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Henrique da Rocha Silva</dc:creator>
  <cp:keywords/>
  <dc:description/>
  <cp:lastModifiedBy>Victor Henrique da Rocha Silva</cp:lastModifiedBy>
  <cp:revision>4</cp:revision>
  <cp:lastPrinted>2023-09-04T14:48:00Z</cp:lastPrinted>
  <dcterms:created xsi:type="dcterms:W3CDTF">2023-09-04T14:44:00Z</dcterms:created>
  <dcterms:modified xsi:type="dcterms:W3CDTF">2023-09-05T17:47:00Z</dcterms:modified>
</cp:coreProperties>
</file>